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382E2" w14:textId="1A32BC10" w:rsidR="00D67A8C" w:rsidRPr="007639CB" w:rsidRDefault="00D67A8C" w:rsidP="00D67A8C">
      <w:pPr>
        <w:pStyle w:val="ListParagraph"/>
        <w:numPr>
          <w:ilvl w:val="0"/>
          <w:numId w:val="1"/>
        </w:numPr>
        <w:rPr>
          <w:rFonts w:cstheme="minorHAnsi"/>
          <w:b/>
          <w:bCs/>
          <w:color w:val="000000" w:themeColor="text1"/>
          <w:sz w:val="28"/>
          <w:szCs w:val="28"/>
        </w:rPr>
      </w:pPr>
      <w:r w:rsidRPr="007639CB">
        <w:rPr>
          <w:b/>
          <w:bCs/>
          <w:color w:val="000000" w:themeColor="text1"/>
          <w:sz w:val="28"/>
          <w:szCs w:val="28"/>
        </w:rPr>
        <w:t>Overview of</w:t>
      </w:r>
      <w:r w:rsidR="00267205" w:rsidRPr="007639CB">
        <w:rPr>
          <w:b/>
          <w:bCs/>
          <w:color w:val="000000" w:themeColor="text1"/>
          <w:sz w:val="28"/>
          <w:szCs w:val="28"/>
        </w:rPr>
        <w:t xml:space="preserve"> </w:t>
      </w:r>
      <w:r w:rsidR="00FF7BD4" w:rsidRPr="007639CB">
        <w:rPr>
          <w:b/>
          <w:bCs/>
          <w:color w:val="000000" w:themeColor="text1"/>
          <w:sz w:val="28"/>
          <w:szCs w:val="28"/>
        </w:rPr>
        <w:t>current Gen</w:t>
      </w:r>
      <w:r w:rsidR="003666A5" w:rsidRPr="007639CB">
        <w:rPr>
          <w:b/>
          <w:bCs/>
          <w:color w:val="000000" w:themeColor="text1"/>
          <w:sz w:val="28"/>
          <w:szCs w:val="28"/>
        </w:rPr>
        <w:t>eral</w:t>
      </w:r>
      <w:r w:rsidRPr="007639CB">
        <w:rPr>
          <w:b/>
          <w:bCs/>
          <w:color w:val="000000" w:themeColor="text1"/>
          <w:sz w:val="28"/>
          <w:szCs w:val="28"/>
        </w:rPr>
        <w:t xml:space="preserve"> Education and Special Education reading program </w:t>
      </w:r>
    </w:p>
    <w:p w14:paraId="7B54A2DB" w14:textId="4D0E2261" w:rsidR="7158C77F" w:rsidRPr="007639CB" w:rsidRDefault="7158C77F" w:rsidP="7158C77F">
      <w:pPr>
        <w:rPr>
          <w:b/>
          <w:bCs/>
          <w:color w:val="000000" w:themeColor="text1"/>
          <w:sz w:val="28"/>
          <w:szCs w:val="28"/>
        </w:rPr>
      </w:pPr>
      <w:r w:rsidRPr="007639CB">
        <w:rPr>
          <w:b/>
          <w:bCs/>
          <w:color w:val="000000" w:themeColor="text1"/>
          <w:sz w:val="28"/>
          <w:szCs w:val="28"/>
        </w:rPr>
        <w:t>General Education – Multiple and Single Subject</w:t>
      </w:r>
    </w:p>
    <w:p w14:paraId="5A1C57DE" w14:textId="4FD9A7D8" w:rsidR="00DF2998" w:rsidRPr="007639CB" w:rsidRDefault="00A96AEF" w:rsidP="7158C77F">
      <w:pPr>
        <w:pStyle w:val="NormalWeb"/>
        <w:ind w:firstLine="720"/>
        <w:rPr>
          <w:rFonts w:asciiTheme="minorHAnsi" w:hAnsiTheme="minorHAnsi" w:cstheme="minorBidi"/>
          <w:color w:val="000000" w:themeColor="text1"/>
        </w:rPr>
      </w:pPr>
      <w:r w:rsidRPr="007639CB">
        <w:rPr>
          <w:rFonts w:asciiTheme="minorHAnsi" w:hAnsiTheme="minorHAnsi" w:cstheme="minorBidi"/>
          <w:color w:val="000000" w:themeColor="text1"/>
        </w:rPr>
        <w:t xml:space="preserve">Dyslexia can affect </w:t>
      </w:r>
      <w:r w:rsidR="003666A5" w:rsidRPr="007639CB">
        <w:rPr>
          <w:rFonts w:asciiTheme="minorHAnsi" w:hAnsiTheme="minorHAnsi" w:cstheme="minorBidi"/>
          <w:color w:val="000000" w:themeColor="text1"/>
        </w:rPr>
        <w:t xml:space="preserve">around </w:t>
      </w:r>
      <w:r w:rsidRPr="007639CB">
        <w:rPr>
          <w:rFonts w:asciiTheme="minorHAnsi" w:hAnsiTheme="minorHAnsi" w:cstheme="minorBidi"/>
          <w:color w:val="000000" w:themeColor="text1"/>
        </w:rPr>
        <w:t>15% of our student population</w:t>
      </w:r>
      <w:r w:rsidR="006477CA" w:rsidRPr="007639CB">
        <w:rPr>
          <w:rFonts w:asciiTheme="minorHAnsi" w:hAnsiTheme="minorHAnsi" w:cstheme="minorBidi"/>
          <w:color w:val="000000" w:themeColor="text1"/>
        </w:rPr>
        <w:t xml:space="preserve">. </w:t>
      </w:r>
      <w:r w:rsidR="00D66422" w:rsidRPr="007639CB">
        <w:rPr>
          <w:rFonts w:asciiTheme="minorHAnsi" w:hAnsiTheme="minorHAnsi" w:cstheme="minorBidi"/>
          <w:color w:val="000000" w:themeColor="text1"/>
        </w:rPr>
        <w:t xml:space="preserve">This is </w:t>
      </w:r>
      <w:r w:rsidR="006477CA" w:rsidRPr="007639CB">
        <w:rPr>
          <w:rFonts w:asciiTheme="minorHAnsi" w:hAnsiTheme="minorHAnsi" w:cstheme="minorBidi"/>
          <w:color w:val="000000" w:themeColor="text1"/>
        </w:rPr>
        <w:t>a sizable portion</w:t>
      </w:r>
      <w:r w:rsidR="00D66422" w:rsidRPr="007639CB">
        <w:rPr>
          <w:rFonts w:asciiTheme="minorHAnsi" w:hAnsiTheme="minorHAnsi" w:cstheme="minorBidi"/>
          <w:color w:val="000000" w:themeColor="text1"/>
        </w:rPr>
        <w:t xml:space="preserve"> of </w:t>
      </w:r>
      <w:r w:rsidR="003666A5" w:rsidRPr="007639CB">
        <w:rPr>
          <w:rFonts w:asciiTheme="minorHAnsi" w:hAnsiTheme="minorHAnsi" w:cstheme="minorBidi"/>
          <w:color w:val="000000" w:themeColor="text1"/>
        </w:rPr>
        <w:t xml:space="preserve">the students in our </w:t>
      </w:r>
      <w:r w:rsidR="00D66422" w:rsidRPr="007639CB">
        <w:rPr>
          <w:rFonts w:asciiTheme="minorHAnsi" w:hAnsiTheme="minorHAnsi" w:cstheme="minorBidi"/>
          <w:color w:val="000000" w:themeColor="text1"/>
        </w:rPr>
        <w:t>classrooms</w:t>
      </w:r>
      <w:r w:rsidR="006477CA" w:rsidRPr="007639CB">
        <w:rPr>
          <w:rFonts w:asciiTheme="minorHAnsi" w:hAnsiTheme="minorHAnsi" w:cstheme="minorBidi"/>
          <w:color w:val="000000" w:themeColor="text1"/>
        </w:rPr>
        <w:t xml:space="preserve">. </w:t>
      </w:r>
      <w:r w:rsidR="003666A5" w:rsidRPr="007639CB">
        <w:rPr>
          <w:rFonts w:asciiTheme="minorHAnsi" w:hAnsiTheme="minorHAnsi" w:cstheme="minorBidi"/>
          <w:color w:val="000000" w:themeColor="text1"/>
        </w:rPr>
        <w:t>Multiple subject and single subject c</w:t>
      </w:r>
      <w:r w:rsidR="00D66422" w:rsidRPr="007639CB">
        <w:rPr>
          <w:rFonts w:asciiTheme="minorHAnsi" w:hAnsiTheme="minorHAnsi" w:cstheme="minorBidi"/>
          <w:color w:val="000000" w:themeColor="text1"/>
        </w:rPr>
        <w:t>lassroom teachers</w:t>
      </w:r>
      <w:r w:rsidR="003666A5" w:rsidRPr="007639CB">
        <w:rPr>
          <w:rFonts w:asciiTheme="minorHAnsi" w:hAnsiTheme="minorHAnsi" w:cstheme="minorBidi"/>
          <w:color w:val="000000" w:themeColor="text1"/>
        </w:rPr>
        <w:t xml:space="preserve"> </w:t>
      </w:r>
      <w:proofErr w:type="gramStart"/>
      <w:r w:rsidR="003666A5" w:rsidRPr="007639CB">
        <w:rPr>
          <w:rFonts w:asciiTheme="minorHAnsi" w:hAnsiTheme="minorHAnsi" w:cstheme="minorBidi"/>
          <w:color w:val="000000" w:themeColor="text1"/>
        </w:rPr>
        <w:t>must</w:t>
      </w:r>
      <w:r w:rsidR="00D66422" w:rsidRPr="007639CB">
        <w:rPr>
          <w:rFonts w:asciiTheme="minorHAnsi" w:hAnsiTheme="minorHAnsi" w:cstheme="minorBidi"/>
          <w:color w:val="000000" w:themeColor="text1"/>
        </w:rPr>
        <w:t xml:space="preserve"> to</w:t>
      </w:r>
      <w:proofErr w:type="gramEnd"/>
      <w:r w:rsidR="00D66422" w:rsidRPr="007639CB">
        <w:rPr>
          <w:rFonts w:asciiTheme="minorHAnsi" w:hAnsiTheme="minorHAnsi" w:cstheme="minorBidi"/>
          <w:color w:val="000000" w:themeColor="text1"/>
        </w:rPr>
        <w:t xml:space="preserve"> be able to identify and attend to the needs of</w:t>
      </w:r>
      <w:r w:rsidR="003666A5" w:rsidRPr="007639CB">
        <w:rPr>
          <w:rFonts w:asciiTheme="minorHAnsi" w:hAnsiTheme="minorHAnsi" w:cstheme="minorBidi"/>
          <w:color w:val="000000" w:themeColor="text1"/>
        </w:rPr>
        <w:t xml:space="preserve"> all children, including</w:t>
      </w:r>
      <w:r w:rsidR="00D66422" w:rsidRPr="007639CB">
        <w:rPr>
          <w:rFonts w:asciiTheme="minorHAnsi" w:hAnsiTheme="minorHAnsi" w:cstheme="minorBidi"/>
          <w:color w:val="000000" w:themeColor="text1"/>
        </w:rPr>
        <w:t xml:space="preserve"> students with dyslexia.  H</w:t>
      </w:r>
      <w:r w:rsidR="00DF2998" w:rsidRPr="007639CB">
        <w:rPr>
          <w:rFonts w:asciiTheme="minorHAnsi" w:hAnsiTheme="minorHAnsi" w:cstheme="minorBidi"/>
          <w:color w:val="000000" w:themeColor="text1"/>
        </w:rPr>
        <w:t xml:space="preserve">owever, most classroom teachers are ill-equipped to identify </w:t>
      </w:r>
      <w:r w:rsidR="00D66422" w:rsidRPr="007639CB">
        <w:rPr>
          <w:rFonts w:asciiTheme="minorHAnsi" w:hAnsiTheme="minorHAnsi" w:cstheme="minorBidi"/>
          <w:color w:val="000000" w:themeColor="text1"/>
        </w:rPr>
        <w:t xml:space="preserve">and meet the needs of children </w:t>
      </w:r>
      <w:r w:rsidR="00DF2998" w:rsidRPr="007639CB">
        <w:rPr>
          <w:rFonts w:asciiTheme="minorHAnsi" w:hAnsiTheme="minorHAnsi" w:cstheme="minorBidi"/>
          <w:color w:val="000000" w:themeColor="text1"/>
        </w:rPr>
        <w:t xml:space="preserve">who might fall into this category. Teachers need to come into the classroom ready to teach reading, and, when that fails to occur, to identify the reasons the children are not successful in this area. Teacher education courses </w:t>
      </w:r>
      <w:r w:rsidR="00D66422" w:rsidRPr="007639CB">
        <w:rPr>
          <w:rFonts w:asciiTheme="minorHAnsi" w:hAnsiTheme="minorHAnsi" w:cstheme="minorBidi"/>
          <w:color w:val="000000" w:themeColor="text1"/>
        </w:rPr>
        <w:t>need to</w:t>
      </w:r>
      <w:r w:rsidR="00DF2998" w:rsidRPr="007639CB">
        <w:rPr>
          <w:rFonts w:asciiTheme="minorHAnsi" w:hAnsiTheme="minorHAnsi" w:cstheme="minorBidi"/>
          <w:color w:val="000000" w:themeColor="text1"/>
        </w:rPr>
        <w:t xml:space="preserve"> educate incoming teachers first in identifying a child who might be dyslexic </w:t>
      </w:r>
      <w:r w:rsidR="006477CA" w:rsidRPr="007639CB">
        <w:rPr>
          <w:rFonts w:asciiTheme="minorHAnsi" w:hAnsiTheme="minorHAnsi" w:cstheme="minorBidi"/>
          <w:color w:val="000000" w:themeColor="text1"/>
        </w:rPr>
        <w:t>and</w:t>
      </w:r>
      <w:r w:rsidR="00DF2998" w:rsidRPr="007639CB">
        <w:rPr>
          <w:rFonts w:asciiTheme="minorHAnsi" w:hAnsiTheme="minorHAnsi" w:cstheme="minorBidi"/>
          <w:color w:val="000000" w:themeColor="text1"/>
        </w:rPr>
        <w:t xml:space="preserve"> have a knowledge of multiple methods for meeting the needs of a dyslexic child</w:t>
      </w:r>
      <w:r w:rsidR="006477CA" w:rsidRPr="007639CB">
        <w:rPr>
          <w:rFonts w:asciiTheme="minorHAnsi" w:hAnsiTheme="minorHAnsi" w:cstheme="minorBidi"/>
          <w:color w:val="000000" w:themeColor="text1"/>
        </w:rPr>
        <w:t xml:space="preserve">. </w:t>
      </w:r>
    </w:p>
    <w:p w14:paraId="44684456" w14:textId="6A11E9AD" w:rsidR="00C52AED" w:rsidRPr="007639CB" w:rsidRDefault="00C52AED" w:rsidP="7158C77F">
      <w:pPr>
        <w:pStyle w:val="NormalWeb"/>
        <w:ind w:firstLine="720"/>
        <w:jc w:val="both"/>
        <w:rPr>
          <w:rFonts w:asciiTheme="minorHAnsi" w:hAnsiTheme="minorHAnsi" w:cstheme="minorBidi"/>
          <w:color w:val="000000" w:themeColor="text1"/>
        </w:rPr>
      </w:pPr>
      <w:r w:rsidRPr="007639CB">
        <w:rPr>
          <w:rFonts w:asciiTheme="minorHAnsi" w:hAnsiTheme="minorHAnsi" w:cstheme="minorBidi"/>
          <w:color w:val="000000" w:themeColor="text1"/>
        </w:rPr>
        <w:t>The Ca Dyslexia Guideline</w:t>
      </w:r>
      <w:r w:rsidR="00194106" w:rsidRPr="007639CB">
        <w:rPr>
          <w:rFonts w:asciiTheme="minorHAnsi" w:hAnsiTheme="minorHAnsi" w:cstheme="minorBidi"/>
          <w:color w:val="000000" w:themeColor="text1"/>
        </w:rPr>
        <w:t>s</w:t>
      </w:r>
      <w:r w:rsidRPr="007639CB">
        <w:rPr>
          <w:rFonts w:asciiTheme="minorHAnsi" w:hAnsiTheme="minorHAnsi" w:cstheme="minorBidi"/>
          <w:color w:val="000000" w:themeColor="text1"/>
        </w:rPr>
        <w:t xml:space="preserve"> indicate th</w:t>
      </w:r>
      <w:r w:rsidR="00B10A51" w:rsidRPr="007639CB">
        <w:rPr>
          <w:rFonts w:asciiTheme="minorHAnsi" w:hAnsiTheme="minorHAnsi" w:cstheme="minorBidi"/>
          <w:color w:val="000000" w:themeColor="text1"/>
        </w:rPr>
        <w:t>e</w:t>
      </w:r>
      <w:r w:rsidRPr="007639CB">
        <w:rPr>
          <w:rFonts w:asciiTheme="minorHAnsi" w:hAnsiTheme="minorHAnsi" w:cstheme="minorBidi"/>
          <w:color w:val="000000" w:themeColor="text1"/>
        </w:rPr>
        <w:t xml:space="preserve"> </w:t>
      </w:r>
      <w:r w:rsidR="003666A5" w:rsidRPr="007639CB">
        <w:rPr>
          <w:rFonts w:asciiTheme="minorHAnsi" w:hAnsiTheme="minorHAnsi" w:cstheme="minorBidi"/>
          <w:color w:val="000000" w:themeColor="text1"/>
        </w:rPr>
        <w:t>general</w:t>
      </w:r>
      <w:r w:rsidRPr="007639CB">
        <w:rPr>
          <w:rFonts w:asciiTheme="minorHAnsi" w:hAnsiTheme="minorHAnsi" w:cstheme="minorBidi"/>
          <w:color w:val="000000" w:themeColor="text1"/>
        </w:rPr>
        <w:t xml:space="preserve"> education classroom should </w:t>
      </w:r>
      <w:r w:rsidR="0021740D" w:rsidRPr="007639CB">
        <w:rPr>
          <w:rFonts w:asciiTheme="minorHAnsi" w:hAnsiTheme="minorHAnsi" w:cstheme="minorBidi"/>
          <w:color w:val="000000" w:themeColor="text1"/>
        </w:rPr>
        <w:t>provide</w:t>
      </w:r>
      <w:r w:rsidRPr="007639CB">
        <w:rPr>
          <w:rFonts w:asciiTheme="minorHAnsi" w:hAnsiTheme="minorHAnsi" w:cstheme="minorBidi"/>
          <w:color w:val="000000" w:themeColor="text1"/>
        </w:rPr>
        <w:t xml:space="preserve"> appropriate instruction, using a model of multi-tiered inventions and a process for documenting progress. (CA </w:t>
      </w:r>
      <w:r w:rsidR="0021740D" w:rsidRPr="007639CB">
        <w:rPr>
          <w:rFonts w:asciiTheme="minorHAnsi" w:hAnsiTheme="minorHAnsi" w:cstheme="minorBidi"/>
          <w:color w:val="000000" w:themeColor="text1"/>
        </w:rPr>
        <w:t>Guidelines</w:t>
      </w:r>
      <w:r w:rsidR="007639CB" w:rsidRPr="007639CB">
        <w:rPr>
          <w:rFonts w:asciiTheme="minorHAnsi" w:hAnsiTheme="minorHAnsi" w:cstheme="minorBidi"/>
          <w:color w:val="000000" w:themeColor="text1"/>
        </w:rPr>
        <w:t xml:space="preserve">, </w:t>
      </w:r>
      <w:r w:rsidR="0021740D" w:rsidRPr="007639CB">
        <w:rPr>
          <w:rFonts w:asciiTheme="minorHAnsi" w:hAnsiTheme="minorHAnsi" w:cstheme="minorBidi"/>
          <w:color w:val="000000" w:themeColor="text1"/>
        </w:rPr>
        <w:t>2017</w:t>
      </w:r>
      <w:r w:rsidRPr="007639CB">
        <w:rPr>
          <w:rFonts w:asciiTheme="minorHAnsi" w:hAnsiTheme="minorHAnsi" w:cstheme="minorBidi"/>
          <w:color w:val="000000" w:themeColor="text1"/>
        </w:rPr>
        <w:t xml:space="preserve">, p. 53) </w:t>
      </w:r>
    </w:p>
    <w:p w14:paraId="0C63B598" w14:textId="0AB2F4CB" w:rsidR="00DF2998" w:rsidRPr="007639CB" w:rsidRDefault="00DF2998" w:rsidP="7158C77F">
      <w:pPr>
        <w:pStyle w:val="NormalWeb"/>
        <w:ind w:firstLine="720"/>
        <w:rPr>
          <w:rFonts w:asciiTheme="minorHAnsi" w:hAnsiTheme="minorHAnsi" w:cstheme="minorBidi"/>
          <w:color w:val="000000" w:themeColor="text1"/>
        </w:rPr>
      </w:pPr>
      <w:r w:rsidRPr="007639CB">
        <w:rPr>
          <w:rFonts w:asciiTheme="minorHAnsi" w:hAnsiTheme="minorHAnsi" w:cstheme="minorBidi"/>
          <w:color w:val="000000" w:themeColor="text1"/>
        </w:rPr>
        <w:t xml:space="preserve">Currently, the </w:t>
      </w:r>
      <w:r w:rsidR="003666A5" w:rsidRPr="007639CB">
        <w:rPr>
          <w:rFonts w:asciiTheme="minorHAnsi" w:hAnsiTheme="minorHAnsi" w:cstheme="minorBidi"/>
          <w:color w:val="000000" w:themeColor="text1"/>
        </w:rPr>
        <w:t xml:space="preserve">National </w:t>
      </w:r>
      <w:r w:rsidR="00700C27" w:rsidRPr="007639CB">
        <w:rPr>
          <w:rFonts w:asciiTheme="minorHAnsi" w:hAnsiTheme="minorHAnsi" w:cstheme="minorBidi"/>
          <w:color w:val="000000" w:themeColor="text1"/>
        </w:rPr>
        <w:t>University Inspired</w:t>
      </w:r>
      <w:r w:rsidR="003666A5" w:rsidRPr="007639CB">
        <w:rPr>
          <w:rFonts w:asciiTheme="minorHAnsi" w:hAnsiTheme="minorHAnsi" w:cstheme="minorBidi"/>
          <w:color w:val="000000" w:themeColor="text1"/>
        </w:rPr>
        <w:t xml:space="preserve"> Teaching </w:t>
      </w:r>
      <w:r w:rsidR="00700C27" w:rsidRPr="007639CB">
        <w:rPr>
          <w:rFonts w:asciiTheme="minorHAnsi" w:hAnsiTheme="minorHAnsi" w:cstheme="minorBidi"/>
          <w:color w:val="000000" w:themeColor="text1"/>
        </w:rPr>
        <w:t xml:space="preserve">and Learning </w:t>
      </w:r>
      <w:r w:rsidR="003666A5" w:rsidRPr="007639CB">
        <w:rPr>
          <w:rFonts w:asciiTheme="minorHAnsi" w:hAnsiTheme="minorHAnsi" w:cstheme="minorBidi"/>
          <w:color w:val="000000" w:themeColor="text1"/>
        </w:rPr>
        <w:t xml:space="preserve">(ITL) </w:t>
      </w:r>
      <w:r w:rsidRPr="007639CB">
        <w:rPr>
          <w:rFonts w:asciiTheme="minorHAnsi" w:hAnsiTheme="minorHAnsi" w:cstheme="minorBidi"/>
          <w:color w:val="000000" w:themeColor="text1"/>
        </w:rPr>
        <w:t>credential program offers four classes in teaching reading, two for multiple subject candidates and two for single subject candidates.</w:t>
      </w:r>
      <w:r w:rsidR="00C73EE6" w:rsidRPr="007639CB">
        <w:rPr>
          <w:rFonts w:asciiTheme="minorHAnsi" w:hAnsiTheme="minorHAnsi" w:cstheme="minorBidi"/>
          <w:color w:val="000000" w:themeColor="text1"/>
        </w:rPr>
        <w:t xml:space="preserve"> </w:t>
      </w:r>
      <w:r w:rsidR="003666A5" w:rsidRPr="007639CB">
        <w:rPr>
          <w:rFonts w:asciiTheme="minorHAnsi" w:hAnsiTheme="minorHAnsi" w:cstheme="minorBidi"/>
          <w:b/>
          <w:bCs/>
          <w:color w:val="000000" w:themeColor="text1"/>
        </w:rPr>
        <w:t>Multiple subject candidates take ITL Language -Literacy Foundation and ITL Language-Literacy Strategies</w:t>
      </w:r>
      <w:r w:rsidR="00700C27" w:rsidRPr="007639CB">
        <w:rPr>
          <w:rFonts w:asciiTheme="minorHAnsi" w:hAnsiTheme="minorHAnsi" w:cstheme="minorBidi"/>
          <w:b/>
          <w:bCs/>
          <w:color w:val="000000" w:themeColor="text1"/>
        </w:rPr>
        <w:t>. Single</w:t>
      </w:r>
      <w:r w:rsidR="007639CB" w:rsidRPr="007639CB">
        <w:rPr>
          <w:rFonts w:asciiTheme="minorHAnsi" w:hAnsiTheme="minorHAnsi" w:cstheme="minorBidi"/>
          <w:b/>
          <w:bCs/>
          <w:color w:val="000000" w:themeColor="text1"/>
        </w:rPr>
        <w:t>-</w:t>
      </w:r>
      <w:r w:rsidR="00700C27" w:rsidRPr="007639CB">
        <w:rPr>
          <w:rFonts w:asciiTheme="minorHAnsi" w:hAnsiTheme="minorHAnsi" w:cstheme="minorBidi"/>
          <w:b/>
          <w:bCs/>
          <w:color w:val="000000" w:themeColor="text1"/>
        </w:rPr>
        <w:t>subject candidates enroll in ITL 514 Language-Literacy Assessment and ITL 516</w:t>
      </w:r>
      <w:r w:rsidR="007639CB" w:rsidRPr="007639CB">
        <w:rPr>
          <w:rFonts w:asciiTheme="minorHAnsi" w:hAnsiTheme="minorHAnsi" w:cstheme="minorBidi"/>
          <w:b/>
          <w:bCs/>
          <w:color w:val="000000" w:themeColor="text1"/>
        </w:rPr>
        <w:t xml:space="preserve">. </w:t>
      </w:r>
      <w:r w:rsidR="00700C27" w:rsidRPr="007639CB">
        <w:rPr>
          <w:rFonts w:asciiTheme="minorHAnsi" w:hAnsiTheme="minorHAnsi" w:cstheme="minorBidi"/>
          <w:b/>
          <w:bCs/>
          <w:color w:val="000000" w:themeColor="text1"/>
        </w:rPr>
        <w:t xml:space="preserve"> </w:t>
      </w:r>
      <w:r w:rsidR="00C73EE6" w:rsidRPr="007639CB">
        <w:rPr>
          <w:rFonts w:asciiTheme="minorHAnsi" w:hAnsiTheme="minorHAnsi" w:cstheme="minorBidi"/>
          <w:b/>
          <w:bCs/>
          <w:color w:val="000000" w:themeColor="text1"/>
        </w:rPr>
        <w:t>For 2022-23</w:t>
      </w:r>
      <w:r w:rsidR="007639CB" w:rsidRPr="007639CB">
        <w:rPr>
          <w:rFonts w:asciiTheme="minorHAnsi" w:hAnsiTheme="minorHAnsi" w:cstheme="minorBidi"/>
          <w:b/>
          <w:bCs/>
          <w:color w:val="000000" w:themeColor="text1"/>
        </w:rPr>
        <w:t>,</w:t>
      </w:r>
      <w:r w:rsidR="00C73EE6" w:rsidRPr="007639CB">
        <w:rPr>
          <w:rFonts w:asciiTheme="minorHAnsi" w:hAnsiTheme="minorHAnsi" w:cstheme="minorBidi"/>
          <w:b/>
          <w:bCs/>
          <w:color w:val="000000" w:themeColor="text1"/>
        </w:rPr>
        <w:t xml:space="preserve"> there were 63 sections of ITL 510, 66 sections of ITL 512, 27 sections </w:t>
      </w:r>
      <w:r w:rsidR="007639CB" w:rsidRPr="007639CB">
        <w:rPr>
          <w:rFonts w:asciiTheme="minorHAnsi" w:hAnsiTheme="minorHAnsi" w:cstheme="minorBidi"/>
          <w:b/>
          <w:bCs/>
          <w:color w:val="000000" w:themeColor="text1"/>
        </w:rPr>
        <w:t>of</w:t>
      </w:r>
      <w:r w:rsidR="00C73EE6" w:rsidRPr="007639CB">
        <w:rPr>
          <w:rFonts w:asciiTheme="minorHAnsi" w:hAnsiTheme="minorHAnsi" w:cstheme="minorBidi"/>
          <w:b/>
          <w:bCs/>
          <w:color w:val="000000" w:themeColor="text1"/>
        </w:rPr>
        <w:t xml:space="preserve"> ITL 514</w:t>
      </w:r>
      <w:r w:rsidR="007639CB" w:rsidRPr="007639CB">
        <w:rPr>
          <w:rFonts w:asciiTheme="minorHAnsi" w:hAnsiTheme="minorHAnsi" w:cstheme="minorBidi"/>
          <w:b/>
          <w:bCs/>
          <w:color w:val="000000" w:themeColor="text1"/>
        </w:rPr>
        <w:t>,</w:t>
      </w:r>
      <w:r w:rsidR="00C73EE6" w:rsidRPr="007639CB">
        <w:rPr>
          <w:rFonts w:asciiTheme="minorHAnsi" w:hAnsiTheme="minorHAnsi" w:cstheme="minorBidi"/>
          <w:b/>
          <w:bCs/>
          <w:color w:val="000000" w:themeColor="text1"/>
        </w:rPr>
        <w:t xml:space="preserve"> and 66 sections of ITL 516 for 222</w:t>
      </w:r>
      <w:r w:rsidR="00C73EE6" w:rsidRPr="007639CB">
        <w:rPr>
          <w:rFonts w:asciiTheme="minorHAnsi" w:hAnsiTheme="minorHAnsi" w:cstheme="minorBidi"/>
          <w:color w:val="000000" w:themeColor="text1"/>
        </w:rPr>
        <w:t xml:space="preserve"> sections</w:t>
      </w:r>
      <w:r w:rsidR="007639CB" w:rsidRPr="007639CB">
        <w:rPr>
          <w:rFonts w:asciiTheme="minorHAnsi" w:hAnsiTheme="minorHAnsi" w:cstheme="minorBidi"/>
          <w:color w:val="000000" w:themeColor="text1"/>
        </w:rPr>
        <w:t xml:space="preserve">. </w:t>
      </w:r>
      <w:r w:rsidRPr="007639CB">
        <w:rPr>
          <w:rFonts w:asciiTheme="minorHAnsi" w:hAnsiTheme="minorHAnsi" w:cstheme="minorBidi"/>
          <w:color w:val="000000" w:themeColor="text1"/>
        </w:rPr>
        <w:t xml:space="preserve"> While the terms dyslexia and special needs are embedded within the courses, actual instruction focused on the identification, assessment</w:t>
      </w:r>
      <w:r w:rsidR="007639CB" w:rsidRPr="007639CB">
        <w:rPr>
          <w:rFonts w:asciiTheme="minorHAnsi" w:hAnsiTheme="minorHAnsi" w:cstheme="minorBidi"/>
          <w:color w:val="000000" w:themeColor="text1"/>
        </w:rPr>
        <w:t>,</w:t>
      </w:r>
      <w:r w:rsidRPr="007639CB">
        <w:rPr>
          <w:rFonts w:asciiTheme="minorHAnsi" w:hAnsiTheme="minorHAnsi" w:cstheme="minorBidi"/>
          <w:color w:val="000000" w:themeColor="text1"/>
        </w:rPr>
        <w:t xml:space="preserve"> or remediation of these needs is not housed within the content of the course</w:t>
      </w:r>
      <w:r w:rsidR="006477CA" w:rsidRPr="007639CB">
        <w:rPr>
          <w:rFonts w:asciiTheme="minorHAnsi" w:hAnsiTheme="minorHAnsi" w:cstheme="minorBidi"/>
          <w:color w:val="000000" w:themeColor="text1"/>
        </w:rPr>
        <w:t xml:space="preserve">. </w:t>
      </w:r>
      <w:r w:rsidR="00B10A51" w:rsidRPr="007639CB">
        <w:rPr>
          <w:rFonts w:asciiTheme="minorHAnsi" w:hAnsiTheme="minorHAnsi" w:cstheme="minorBidi"/>
          <w:color w:val="000000" w:themeColor="text1"/>
        </w:rPr>
        <w:t>Assignments consistently ask teacher candidates to identify how they might address the needs of children with special needs</w:t>
      </w:r>
      <w:r w:rsidR="003449D6" w:rsidRPr="007639CB">
        <w:rPr>
          <w:rFonts w:asciiTheme="minorHAnsi" w:hAnsiTheme="minorHAnsi" w:cstheme="minorBidi"/>
          <w:color w:val="000000" w:themeColor="text1"/>
        </w:rPr>
        <w:t>, including children with dyslexia</w:t>
      </w:r>
      <w:r w:rsidR="007639CB" w:rsidRPr="007639CB">
        <w:rPr>
          <w:rFonts w:asciiTheme="minorHAnsi" w:hAnsiTheme="minorHAnsi" w:cstheme="minorBidi"/>
          <w:color w:val="000000" w:themeColor="text1"/>
        </w:rPr>
        <w:t>. H</w:t>
      </w:r>
      <w:r w:rsidR="003449D6" w:rsidRPr="007639CB">
        <w:rPr>
          <w:rFonts w:asciiTheme="minorHAnsi" w:hAnsiTheme="minorHAnsi" w:cstheme="minorBidi"/>
          <w:color w:val="000000" w:themeColor="text1"/>
        </w:rPr>
        <w:t xml:space="preserve">owever, </w:t>
      </w:r>
      <w:r w:rsidR="007639CB" w:rsidRPr="007639CB">
        <w:rPr>
          <w:rFonts w:asciiTheme="minorHAnsi" w:hAnsiTheme="minorHAnsi" w:cstheme="minorBidi"/>
          <w:color w:val="000000" w:themeColor="text1"/>
        </w:rPr>
        <w:t>no specific curriculum</w:t>
      </w:r>
      <w:r w:rsidR="003449D6" w:rsidRPr="007639CB">
        <w:rPr>
          <w:rFonts w:asciiTheme="minorHAnsi" w:hAnsiTheme="minorHAnsi" w:cstheme="minorBidi"/>
          <w:color w:val="000000" w:themeColor="text1"/>
        </w:rPr>
        <w:t xml:space="preserve"> will provide general education teacher candidates with </w:t>
      </w:r>
      <w:r w:rsidR="00AB12C9" w:rsidRPr="007639CB">
        <w:rPr>
          <w:rFonts w:asciiTheme="minorHAnsi" w:hAnsiTheme="minorHAnsi" w:cstheme="minorBidi"/>
          <w:color w:val="000000" w:themeColor="text1"/>
        </w:rPr>
        <w:t>knowledge on identifying dyslexic children and designing a curriculum to meet their needs</w:t>
      </w:r>
      <w:r w:rsidR="006477CA" w:rsidRPr="007639CB">
        <w:rPr>
          <w:rFonts w:asciiTheme="minorHAnsi" w:hAnsiTheme="minorHAnsi" w:cstheme="minorBidi"/>
          <w:color w:val="000000" w:themeColor="text1"/>
        </w:rPr>
        <w:t xml:space="preserve">. </w:t>
      </w:r>
      <w:r w:rsidR="00AB12C9" w:rsidRPr="007639CB">
        <w:rPr>
          <w:rFonts w:asciiTheme="minorHAnsi" w:hAnsiTheme="minorHAnsi" w:cstheme="minorBidi"/>
          <w:color w:val="000000" w:themeColor="text1"/>
        </w:rPr>
        <w:t>Effective classroom instruction informed by reliable research can prevent or reduce the severity of reading problems (IDA 2010)</w:t>
      </w:r>
      <w:r w:rsidR="006477CA" w:rsidRPr="007639CB">
        <w:rPr>
          <w:rFonts w:asciiTheme="minorHAnsi" w:hAnsiTheme="minorHAnsi" w:cstheme="minorBidi"/>
          <w:color w:val="000000" w:themeColor="text1"/>
        </w:rPr>
        <w:t xml:space="preserve">. </w:t>
      </w:r>
      <w:r w:rsidR="00AB12C9" w:rsidRPr="007639CB">
        <w:rPr>
          <w:rFonts w:asciiTheme="minorHAnsi" w:hAnsiTheme="minorHAnsi" w:cstheme="minorBidi"/>
          <w:color w:val="000000" w:themeColor="text1"/>
        </w:rPr>
        <w:t xml:space="preserve">General educators must be prepared with </w:t>
      </w:r>
      <w:r w:rsidR="00B20566" w:rsidRPr="007639CB">
        <w:rPr>
          <w:rFonts w:asciiTheme="minorHAnsi" w:hAnsiTheme="minorHAnsi" w:cstheme="minorBidi"/>
          <w:color w:val="000000" w:themeColor="text1"/>
        </w:rPr>
        <w:t>research</w:t>
      </w:r>
      <w:r w:rsidR="007639CB" w:rsidRPr="007639CB">
        <w:rPr>
          <w:rFonts w:asciiTheme="minorHAnsi" w:hAnsiTheme="minorHAnsi" w:cstheme="minorBidi"/>
          <w:color w:val="000000" w:themeColor="text1"/>
        </w:rPr>
        <w:t>-bas</w:t>
      </w:r>
      <w:r w:rsidR="00B20566" w:rsidRPr="007639CB">
        <w:rPr>
          <w:rFonts w:asciiTheme="minorHAnsi" w:hAnsiTheme="minorHAnsi" w:cstheme="minorBidi"/>
          <w:color w:val="000000" w:themeColor="text1"/>
        </w:rPr>
        <w:t>ed information about how children learn, why some children have difficulties, and how the most effective instructional approaches can be implemented to help children (Lyon 1997, 2002)</w:t>
      </w:r>
      <w:r w:rsidR="006477CA" w:rsidRPr="007639CB">
        <w:rPr>
          <w:rFonts w:asciiTheme="minorHAnsi" w:hAnsiTheme="minorHAnsi" w:cstheme="minorBidi"/>
          <w:color w:val="000000" w:themeColor="text1"/>
        </w:rPr>
        <w:t xml:space="preserve">. </w:t>
      </w:r>
      <w:r w:rsidR="00B20566" w:rsidRPr="007639CB">
        <w:rPr>
          <w:rFonts w:asciiTheme="minorHAnsi" w:hAnsiTheme="minorHAnsi" w:cstheme="minorBidi"/>
          <w:color w:val="000000" w:themeColor="text1"/>
        </w:rPr>
        <w:t xml:space="preserve">Learning to teach reading </w:t>
      </w:r>
      <w:r w:rsidR="00F7527B" w:rsidRPr="007639CB">
        <w:rPr>
          <w:rFonts w:asciiTheme="minorHAnsi" w:hAnsiTheme="minorHAnsi" w:cstheme="minorBidi"/>
          <w:color w:val="000000" w:themeColor="text1"/>
        </w:rPr>
        <w:t xml:space="preserve">and writing </w:t>
      </w:r>
      <w:r w:rsidR="00B20566" w:rsidRPr="007639CB">
        <w:rPr>
          <w:rFonts w:asciiTheme="minorHAnsi" w:hAnsiTheme="minorHAnsi" w:cstheme="minorBidi"/>
          <w:color w:val="000000" w:themeColor="text1"/>
        </w:rPr>
        <w:t>is a complex undertaking</w:t>
      </w:r>
      <w:r w:rsidR="006477CA" w:rsidRPr="007639CB">
        <w:rPr>
          <w:rFonts w:asciiTheme="minorHAnsi" w:hAnsiTheme="minorHAnsi" w:cstheme="minorBidi"/>
          <w:color w:val="000000" w:themeColor="text1"/>
        </w:rPr>
        <w:t xml:space="preserve">. </w:t>
      </w:r>
      <w:r w:rsidR="00F7527B" w:rsidRPr="007639CB">
        <w:rPr>
          <w:rFonts w:asciiTheme="minorHAnsi" w:hAnsiTheme="minorHAnsi" w:cstheme="minorBidi"/>
          <w:color w:val="000000" w:themeColor="text1"/>
        </w:rPr>
        <w:t>Teacher</w:t>
      </w:r>
      <w:r w:rsidR="007639CB" w:rsidRPr="007639CB">
        <w:rPr>
          <w:rFonts w:asciiTheme="minorHAnsi" w:hAnsiTheme="minorHAnsi" w:cstheme="minorBidi"/>
          <w:color w:val="000000" w:themeColor="text1"/>
        </w:rPr>
        <w:t>s’</w:t>
      </w:r>
      <w:r w:rsidR="00F7527B" w:rsidRPr="007639CB">
        <w:rPr>
          <w:rFonts w:asciiTheme="minorHAnsi" w:hAnsiTheme="minorHAnsi" w:cstheme="minorBidi"/>
          <w:color w:val="000000" w:themeColor="text1"/>
        </w:rPr>
        <w:t xml:space="preserve"> competence and expertise can be cultivated with training </w:t>
      </w:r>
      <w:r w:rsidR="007639CB" w:rsidRPr="007639CB">
        <w:rPr>
          <w:rFonts w:asciiTheme="minorHAnsi" w:hAnsiTheme="minorHAnsi" w:cstheme="minorBidi"/>
          <w:color w:val="000000" w:themeColor="text1"/>
        </w:rPr>
        <w:t>emphasizing</w:t>
      </w:r>
      <w:r w:rsidR="00F7527B" w:rsidRPr="007639CB">
        <w:rPr>
          <w:rFonts w:asciiTheme="minorHAnsi" w:hAnsiTheme="minorHAnsi" w:cstheme="minorBidi"/>
          <w:color w:val="000000" w:themeColor="text1"/>
        </w:rPr>
        <w:t xml:space="preserve"> reading development, language structure, learning strengths</w:t>
      </w:r>
      <w:r w:rsidR="007639CB" w:rsidRPr="007639CB">
        <w:rPr>
          <w:rFonts w:asciiTheme="minorHAnsi" w:hAnsiTheme="minorHAnsi" w:cstheme="minorBidi"/>
          <w:color w:val="000000" w:themeColor="text1"/>
        </w:rPr>
        <w:t>,</w:t>
      </w:r>
      <w:r w:rsidR="00F7527B" w:rsidRPr="007639CB">
        <w:rPr>
          <w:rFonts w:asciiTheme="minorHAnsi" w:hAnsiTheme="minorHAnsi" w:cstheme="minorBidi"/>
          <w:color w:val="000000" w:themeColor="text1"/>
        </w:rPr>
        <w:t xml:space="preserve"> and weaknesses</w:t>
      </w:r>
      <w:r w:rsidR="006477CA" w:rsidRPr="007639CB">
        <w:rPr>
          <w:rFonts w:asciiTheme="minorHAnsi" w:hAnsiTheme="minorHAnsi" w:cstheme="minorBidi"/>
          <w:color w:val="000000" w:themeColor="text1"/>
        </w:rPr>
        <w:t xml:space="preserve">. </w:t>
      </w:r>
      <w:r w:rsidR="00F7527B" w:rsidRPr="007639CB">
        <w:rPr>
          <w:rFonts w:asciiTheme="minorHAnsi" w:hAnsiTheme="minorHAnsi" w:cstheme="minorBidi"/>
          <w:color w:val="000000" w:themeColor="text1"/>
        </w:rPr>
        <w:t xml:space="preserve">Although the problems experienced by students with dyslexia may originate with neurobiological differences, </w:t>
      </w:r>
      <w:r w:rsidR="007639CB" w:rsidRPr="007639CB">
        <w:rPr>
          <w:rFonts w:asciiTheme="minorHAnsi" w:hAnsiTheme="minorHAnsi" w:cstheme="minorBidi"/>
          <w:color w:val="000000" w:themeColor="text1"/>
        </w:rPr>
        <w:t xml:space="preserve">skilled teaching is </w:t>
      </w:r>
      <w:r w:rsidR="00F7527B" w:rsidRPr="007639CB">
        <w:rPr>
          <w:rFonts w:asciiTheme="minorHAnsi" w:hAnsiTheme="minorHAnsi" w:cstheme="minorBidi"/>
          <w:color w:val="000000" w:themeColor="text1"/>
        </w:rPr>
        <w:t>the most effective treatment for these students and those who struggle with related reading problems</w:t>
      </w:r>
      <w:r w:rsidR="006477CA" w:rsidRPr="007639CB">
        <w:rPr>
          <w:rFonts w:asciiTheme="minorHAnsi" w:hAnsiTheme="minorHAnsi" w:cstheme="minorBidi"/>
          <w:color w:val="000000" w:themeColor="text1"/>
        </w:rPr>
        <w:t xml:space="preserve">. </w:t>
      </w:r>
      <w:r w:rsidR="00F7527B" w:rsidRPr="007639CB">
        <w:rPr>
          <w:rFonts w:asciiTheme="minorHAnsi" w:hAnsiTheme="minorHAnsi" w:cstheme="minorBidi"/>
          <w:color w:val="000000" w:themeColor="text1"/>
        </w:rPr>
        <w:t xml:space="preserve">For that reason, </w:t>
      </w:r>
      <w:r w:rsidR="007639CB" w:rsidRPr="007639CB">
        <w:rPr>
          <w:rFonts w:asciiTheme="minorHAnsi" w:hAnsiTheme="minorHAnsi" w:cstheme="minorBidi"/>
          <w:color w:val="000000" w:themeColor="text1"/>
        </w:rPr>
        <w:t>educators must</w:t>
      </w:r>
      <w:r w:rsidR="00F7527B" w:rsidRPr="007639CB">
        <w:rPr>
          <w:rFonts w:asciiTheme="minorHAnsi" w:hAnsiTheme="minorHAnsi" w:cstheme="minorBidi"/>
          <w:color w:val="000000" w:themeColor="text1"/>
        </w:rPr>
        <w:t xml:space="preserve"> receive accurate and current information about how to identify children with dyslexia and how to teach them</w:t>
      </w:r>
      <w:r w:rsidR="006477CA" w:rsidRPr="007639CB">
        <w:rPr>
          <w:rFonts w:asciiTheme="minorHAnsi" w:hAnsiTheme="minorHAnsi" w:cstheme="minorBidi"/>
          <w:color w:val="000000" w:themeColor="text1"/>
        </w:rPr>
        <w:t xml:space="preserve">. </w:t>
      </w:r>
    </w:p>
    <w:p w14:paraId="6CC70D8D" w14:textId="1CE86ECD" w:rsidR="7158C77F" w:rsidRPr="007639CB" w:rsidRDefault="7158C77F" w:rsidP="7158C77F">
      <w:pPr>
        <w:pStyle w:val="NormalWeb"/>
        <w:rPr>
          <w:rFonts w:asciiTheme="minorHAnsi" w:hAnsiTheme="minorHAnsi" w:cstheme="minorBidi"/>
          <w:color w:val="000000" w:themeColor="text1"/>
        </w:rPr>
      </w:pPr>
    </w:p>
    <w:p w14:paraId="516232D0" w14:textId="576559D4" w:rsidR="7158C77F" w:rsidRPr="007639CB" w:rsidRDefault="7158C77F" w:rsidP="7158C77F">
      <w:pPr>
        <w:pStyle w:val="NormalWeb"/>
        <w:rPr>
          <w:rFonts w:asciiTheme="minorHAnsi" w:hAnsiTheme="minorHAnsi" w:cstheme="minorBidi"/>
          <w:color w:val="000000" w:themeColor="text1"/>
        </w:rPr>
      </w:pPr>
      <w:r w:rsidRPr="007639CB">
        <w:rPr>
          <w:rFonts w:asciiTheme="minorHAnsi" w:hAnsiTheme="minorHAnsi" w:cstheme="minorBidi"/>
          <w:color w:val="000000" w:themeColor="text1"/>
        </w:rPr>
        <w:t>Educational Specialist</w:t>
      </w:r>
    </w:p>
    <w:p w14:paraId="590F0929" w14:textId="5F967F28" w:rsidR="00D67A8C" w:rsidRPr="007639CB" w:rsidRDefault="00D67A8C" w:rsidP="7158C77F">
      <w:pPr>
        <w:ind w:firstLine="720"/>
        <w:rPr>
          <w:color w:val="000000" w:themeColor="text1"/>
          <w:sz w:val="24"/>
          <w:szCs w:val="24"/>
        </w:rPr>
      </w:pPr>
      <w:r w:rsidRPr="007639CB">
        <w:rPr>
          <w:color w:val="000000" w:themeColor="text1"/>
          <w:sz w:val="24"/>
          <w:szCs w:val="24"/>
        </w:rPr>
        <w:t>Special Education has one class in reading</w:t>
      </w:r>
      <w:r w:rsidR="007639CB" w:rsidRPr="007639CB">
        <w:rPr>
          <w:color w:val="000000" w:themeColor="text1"/>
          <w:sz w:val="24"/>
          <w:szCs w:val="24"/>
        </w:rPr>
        <w:t>,</w:t>
      </w:r>
      <w:r w:rsidRPr="007639CB">
        <w:rPr>
          <w:color w:val="000000" w:themeColor="text1"/>
          <w:sz w:val="24"/>
          <w:szCs w:val="24"/>
        </w:rPr>
        <w:t xml:space="preserve"> SPD 514</w:t>
      </w:r>
      <w:r w:rsidR="007639CB" w:rsidRPr="007639CB">
        <w:rPr>
          <w:color w:val="000000" w:themeColor="text1"/>
          <w:sz w:val="24"/>
          <w:szCs w:val="24"/>
        </w:rPr>
        <w:t>,</w:t>
      </w:r>
      <w:r w:rsidR="00C73EE6" w:rsidRPr="007639CB">
        <w:rPr>
          <w:color w:val="000000" w:themeColor="text1"/>
          <w:sz w:val="24"/>
          <w:szCs w:val="24"/>
        </w:rPr>
        <w:t xml:space="preserve"> with 37 sections offered in 2022-23. As a prerequisite for SPD 514, Education</w:t>
      </w:r>
      <w:r w:rsidRPr="007639CB">
        <w:rPr>
          <w:color w:val="000000" w:themeColor="text1"/>
          <w:sz w:val="24"/>
          <w:szCs w:val="24"/>
        </w:rPr>
        <w:t xml:space="preserve"> Specialist candidates </w:t>
      </w:r>
      <w:r w:rsidR="007639CB" w:rsidRPr="007639CB">
        <w:rPr>
          <w:color w:val="000000" w:themeColor="text1"/>
          <w:sz w:val="24"/>
          <w:szCs w:val="24"/>
        </w:rPr>
        <w:t>are required to complete</w:t>
      </w:r>
      <w:r w:rsidRPr="007639CB">
        <w:rPr>
          <w:color w:val="000000" w:themeColor="text1"/>
          <w:sz w:val="24"/>
          <w:szCs w:val="24"/>
        </w:rPr>
        <w:t xml:space="preserve"> ITL 510 and ITL 512. In SPD 514 Language and Literacy Case Studies, during week </w:t>
      </w:r>
      <w:r w:rsidR="00FF7BD4" w:rsidRPr="007639CB">
        <w:rPr>
          <w:color w:val="000000" w:themeColor="text1"/>
          <w:sz w:val="24"/>
          <w:szCs w:val="24"/>
        </w:rPr>
        <w:t>two</w:t>
      </w:r>
      <w:r w:rsidR="007639CB" w:rsidRPr="007639CB">
        <w:rPr>
          <w:color w:val="000000" w:themeColor="text1"/>
          <w:sz w:val="24"/>
          <w:szCs w:val="24"/>
        </w:rPr>
        <w:t>,</w:t>
      </w:r>
      <w:r w:rsidRPr="007639CB">
        <w:rPr>
          <w:color w:val="000000" w:themeColor="text1"/>
          <w:sz w:val="24"/>
          <w:szCs w:val="24"/>
        </w:rPr>
        <w:t xml:space="preserve"> the students </w:t>
      </w:r>
      <w:r w:rsidR="0080502E" w:rsidRPr="007639CB">
        <w:rPr>
          <w:color w:val="000000" w:themeColor="text1"/>
          <w:sz w:val="24"/>
          <w:szCs w:val="24"/>
        </w:rPr>
        <w:t>have the Ca Dyslexia Guidelines</w:t>
      </w:r>
      <w:r w:rsidR="00812673" w:rsidRPr="007639CB">
        <w:rPr>
          <w:color w:val="000000" w:themeColor="text1"/>
          <w:sz w:val="24"/>
          <w:szCs w:val="24"/>
        </w:rPr>
        <w:t xml:space="preserve"> as </w:t>
      </w:r>
      <w:r w:rsidR="0080502E" w:rsidRPr="007639CB">
        <w:rPr>
          <w:color w:val="000000" w:themeColor="text1"/>
          <w:sz w:val="24"/>
          <w:szCs w:val="24"/>
        </w:rPr>
        <w:t>required reading</w:t>
      </w:r>
      <w:r w:rsidR="007639CB" w:rsidRPr="007639CB">
        <w:rPr>
          <w:color w:val="000000" w:themeColor="text1"/>
          <w:sz w:val="24"/>
          <w:szCs w:val="24"/>
        </w:rPr>
        <w:t>,</w:t>
      </w:r>
      <w:r w:rsidR="0080502E" w:rsidRPr="007639CB">
        <w:rPr>
          <w:color w:val="000000" w:themeColor="text1"/>
          <w:sz w:val="24"/>
          <w:szCs w:val="24"/>
        </w:rPr>
        <w:t xml:space="preserve"> and in week </w:t>
      </w:r>
      <w:r w:rsidR="00FF7BD4" w:rsidRPr="007639CB">
        <w:rPr>
          <w:color w:val="000000" w:themeColor="text1"/>
          <w:sz w:val="24"/>
          <w:szCs w:val="24"/>
        </w:rPr>
        <w:t>three</w:t>
      </w:r>
      <w:r w:rsidR="007639CB" w:rsidRPr="007639CB">
        <w:rPr>
          <w:color w:val="000000" w:themeColor="text1"/>
          <w:sz w:val="24"/>
          <w:szCs w:val="24"/>
        </w:rPr>
        <w:t>,</w:t>
      </w:r>
      <w:r w:rsidR="0080502E" w:rsidRPr="007639CB">
        <w:rPr>
          <w:color w:val="000000" w:themeColor="text1"/>
          <w:sz w:val="24"/>
          <w:szCs w:val="24"/>
        </w:rPr>
        <w:t xml:space="preserve"> they complete the technology toolkit</w:t>
      </w:r>
      <w:r w:rsidR="007639CB" w:rsidRPr="007639CB">
        <w:rPr>
          <w:color w:val="000000" w:themeColor="text1"/>
          <w:sz w:val="24"/>
          <w:szCs w:val="24"/>
        </w:rPr>
        <w:t>,</w:t>
      </w:r>
      <w:r w:rsidR="0080502E" w:rsidRPr="007639CB">
        <w:rPr>
          <w:color w:val="000000" w:themeColor="text1"/>
          <w:sz w:val="24"/>
          <w:szCs w:val="24"/>
        </w:rPr>
        <w:t xml:space="preserve"> which includes an assignment to develop a lesson plan for a student with dyslexia</w:t>
      </w:r>
    </w:p>
    <w:p w14:paraId="31E4962B" w14:textId="1B2474CB" w:rsidR="003912AC" w:rsidRPr="007639CB" w:rsidRDefault="00812673" w:rsidP="7158C77F">
      <w:pPr>
        <w:ind w:firstLine="720"/>
        <w:rPr>
          <w:color w:val="000000" w:themeColor="text1"/>
          <w:sz w:val="24"/>
          <w:szCs w:val="24"/>
        </w:rPr>
      </w:pPr>
      <w:r w:rsidRPr="007639CB">
        <w:rPr>
          <w:color w:val="000000" w:themeColor="text1"/>
          <w:sz w:val="24"/>
          <w:szCs w:val="24"/>
        </w:rPr>
        <w:t xml:space="preserve">Currently </w:t>
      </w:r>
      <w:r w:rsidR="0021740D" w:rsidRPr="007639CB">
        <w:rPr>
          <w:color w:val="000000" w:themeColor="text1"/>
          <w:sz w:val="24"/>
          <w:szCs w:val="24"/>
        </w:rPr>
        <w:t>under development</w:t>
      </w:r>
      <w:r w:rsidRPr="007639CB">
        <w:rPr>
          <w:color w:val="000000" w:themeColor="text1"/>
          <w:sz w:val="24"/>
          <w:szCs w:val="24"/>
        </w:rPr>
        <w:t xml:space="preserve"> are two classes to </w:t>
      </w:r>
      <w:r w:rsidR="003912AC" w:rsidRPr="007639CB">
        <w:rPr>
          <w:color w:val="000000" w:themeColor="text1"/>
          <w:sz w:val="24"/>
          <w:szCs w:val="24"/>
        </w:rPr>
        <w:t>re</w:t>
      </w:r>
      <w:r w:rsidRPr="007639CB">
        <w:rPr>
          <w:color w:val="000000" w:themeColor="text1"/>
          <w:sz w:val="24"/>
          <w:szCs w:val="24"/>
        </w:rPr>
        <w:t>place the ITL 510, ITL 512 and SPD 514</w:t>
      </w:r>
      <w:r w:rsidR="006477CA" w:rsidRPr="007639CB">
        <w:rPr>
          <w:color w:val="000000" w:themeColor="text1"/>
          <w:sz w:val="24"/>
          <w:szCs w:val="24"/>
        </w:rPr>
        <w:t xml:space="preserve">. </w:t>
      </w:r>
      <w:r w:rsidRPr="007639CB">
        <w:rPr>
          <w:color w:val="000000" w:themeColor="text1"/>
          <w:sz w:val="24"/>
          <w:szCs w:val="24"/>
        </w:rPr>
        <w:t>The new courses are SED 607 Foundations of Reading for Special Needs student</w:t>
      </w:r>
      <w:r w:rsidR="003912AC" w:rsidRPr="007639CB">
        <w:rPr>
          <w:color w:val="000000" w:themeColor="text1"/>
          <w:sz w:val="24"/>
          <w:szCs w:val="24"/>
        </w:rPr>
        <w:t>s</w:t>
      </w:r>
      <w:r w:rsidR="007639CB" w:rsidRPr="007639CB">
        <w:rPr>
          <w:color w:val="000000" w:themeColor="text1"/>
          <w:sz w:val="24"/>
          <w:szCs w:val="24"/>
        </w:rPr>
        <w:t>,</w:t>
      </w:r>
      <w:r w:rsidR="003912AC" w:rsidRPr="007639CB">
        <w:rPr>
          <w:color w:val="000000" w:themeColor="text1"/>
          <w:sz w:val="24"/>
          <w:szCs w:val="24"/>
        </w:rPr>
        <w:t xml:space="preserve"> Mild/Moderate and Essential Needs Students</w:t>
      </w:r>
      <w:r w:rsidR="007639CB" w:rsidRPr="007639CB">
        <w:rPr>
          <w:color w:val="000000" w:themeColor="text1"/>
          <w:sz w:val="24"/>
          <w:szCs w:val="24"/>
        </w:rPr>
        <w:t>,</w:t>
      </w:r>
      <w:r w:rsidR="003912AC" w:rsidRPr="007639CB">
        <w:rPr>
          <w:color w:val="000000" w:themeColor="text1"/>
          <w:sz w:val="24"/>
          <w:szCs w:val="24"/>
        </w:rPr>
        <w:t xml:space="preserve"> and</w:t>
      </w:r>
      <w:r w:rsidRPr="007639CB">
        <w:rPr>
          <w:color w:val="000000" w:themeColor="text1"/>
          <w:sz w:val="24"/>
          <w:szCs w:val="24"/>
        </w:rPr>
        <w:t xml:space="preserve"> SED 609 Language and Literacy Case Studies</w:t>
      </w:r>
      <w:r w:rsidR="006477CA" w:rsidRPr="007639CB">
        <w:rPr>
          <w:color w:val="000000" w:themeColor="text1"/>
          <w:sz w:val="24"/>
          <w:szCs w:val="24"/>
        </w:rPr>
        <w:t xml:space="preserve">. </w:t>
      </w:r>
      <w:r w:rsidRPr="007639CB">
        <w:rPr>
          <w:color w:val="000000" w:themeColor="text1"/>
          <w:sz w:val="24"/>
          <w:szCs w:val="24"/>
        </w:rPr>
        <w:t>In SED 607</w:t>
      </w:r>
      <w:r w:rsidR="007639CB" w:rsidRPr="007639CB">
        <w:rPr>
          <w:color w:val="000000" w:themeColor="text1"/>
          <w:sz w:val="24"/>
          <w:szCs w:val="24"/>
        </w:rPr>
        <w:t>,</w:t>
      </w:r>
      <w:r w:rsidRPr="007639CB">
        <w:rPr>
          <w:color w:val="000000" w:themeColor="text1"/>
          <w:sz w:val="24"/>
          <w:szCs w:val="24"/>
        </w:rPr>
        <w:t xml:space="preserve"> dyslexia </w:t>
      </w:r>
      <w:proofErr w:type="gramStart"/>
      <w:r w:rsidRPr="007639CB">
        <w:rPr>
          <w:color w:val="000000" w:themeColor="text1"/>
          <w:sz w:val="24"/>
          <w:szCs w:val="24"/>
        </w:rPr>
        <w:t>is</w:t>
      </w:r>
      <w:proofErr w:type="gramEnd"/>
      <w:r w:rsidRPr="007639CB">
        <w:rPr>
          <w:color w:val="000000" w:themeColor="text1"/>
          <w:sz w:val="24"/>
          <w:szCs w:val="24"/>
        </w:rPr>
        <w:t xml:space="preserve"> address</w:t>
      </w:r>
      <w:r w:rsidR="003912AC" w:rsidRPr="007639CB">
        <w:rPr>
          <w:color w:val="000000" w:themeColor="text1"/>
          <w:sz w:val="24"/>
          <w:szCs w:val="24"/>
        </w:rPr>
        <w:t>ed</w:t>
      </w:r>
      <w:r w:rsidRPr="007639CB">
        <w:rPr>
          <w:color w:val="000000" w:themeColor="text1"/>
          <w:sz w:val="24"/>
          <w:szCs w:val="24"/>
        </w:rPr>
        <w:t xml:space="preserve"> within the reading screening and assessment</w:t>
      </w:r>
      <w:r w:rsidR="007639CB" w:rsidRPr="007639CB">
        <w:rPr>
          <w:color w:val="000000" w:themeColor="text1"/>
          <w:sz w:val="24"/>
          <w:szCs w:val="24"/>
        </w:rPr>
        <w:t xml:space="preserve"> content area</w:t>
      </w:r>
      <w:r w:rsidR="006477CA" w:rsidRPr="007639CB">
        <w:rPr>
          <w:color w:val="000000" w:themeColor="text1"/>
          <w:sz w:val="24"/>
          <w:szCs w:val="24"/>
        </w:rPr>
        <w:t xml:space="preserve">. </w:t>
      </w:r>
    </w:p>
    <w:p w14:paraId="152E6548" w14:textId="5B08D1CC" w:rsidR="00A80C09" w:rsidRPr="007639CB" w:rsidRDefault="007639CB" w:rsidP="7158C77F">
      <w:pPr>
        <w:ind w:firstLine="720"/>
        <w:rPr>
          <w:color w:val="000000" w:themeColor="text1"/>
          <w:sz w:val="24"/>
          <w:szCs w:val="24"/>
        </w:rPr>
      </w:pPr>
      <w:r w:rsidRPr="007639CB">
        <w:rPr>
          <w:color w:val="000000" w:themeColor="text1"/>
          <w:sz w:val="24"/>
          <w:szCs w:val="24"/>
        </w:rPr>
        <w:t>L</w:t>
      </w:r>
      <w:r w:rsidR="00812673" w:rsidRPr="007639CB">
        <w:rPr>
          <w:color w:val="000000" w:themeColor="text1"/>
          <w:sz w:val="24"/>
          <w:szCs w:val="24"/>
        </w:rPr>
        <w:t xml:space="preserve">earnings </w:t>
      </w:r>
      <w:r w:rsidRPr="007639CB">
        <w:rPr>
          <w:color w:val="000000" w:themeColor="text1"/>
          <w:sz w:val="24"/>
          <w:szCs w:val="24"/>
        </w:rPr>
        <w:t>about</w:t>
      </w:r>
      <w:r w:rsidR="00812673" w:rsidRPr="007639CB">
        <w:rPr>
          <w:color w:val="000000" w:themeColor="text1"/>
          <w:sz w:val="24"/>
          <w:szCs w:val="24"/>
        </w:rPr>
        <w:t xml:space="preserve"> dyslexia </w:t>
      </w:r>
      <w:r w:rsidRPr="007639CB">
        <w:rPr>
          <w:color w:val="000000" w:themeColor="text1"/>
          <w:sz w:val="24"/>
          <w:szCs w:val="24"/>
        </w:rPr>
        <w:t xml:space="preserve">in the </w:t>
      </w:r>
      <w:r w:rsidR="00812673" w:rsidRPr="007639CB">
        <w:rPr>
          <w:color w:val="000000" w:themeColor="text1"/>
          <w:sz w:val="24"/>
          <w:szCs w:val="24"/>
        </w:rPr>
        <w:t>special education</w:t>
      </w:r>
      <w:r w:rsidRPr="007639CB">
        <w:rPr>
          <w:color w:val="000000" w:themeColor="text1"/>
          <w:sz w:val="24"/>
          <w:szCs w:val="24"/>
        </w:rPr>
        <w:t xml:space="preserve"> programs</w:t>
      </w:r>
      <w:r w:rsidR="00812673" w:rsidRPr="007639CB">
        <w:rPr>
          <w:color w:val="000000" w:themeColor="text1"/>
          <w:sz w:val="24"/>
          <w:szCs w:val="24"/>
        </w:rPr>
        <w:t xml:space="preserve"> </w:t>
      </w:r>
      <w:r w:rsidRPr="007639CB">
        <w:rPr>
          <w:color w:val="000000" w:themeColor="text1"/>
          <w:sz w:val="24"/>
          <w:szCs w:val="24"/>
        </w:rPr>
        <w:t>are</w:t>
      </w:r>
      <w:r w:rsidR="00812673" w:rsidRPr="007639CB">
        <w:rPr>
          <w:color w:val="000000" w:themeColor="text1"/>
          <w:sz w:val="24"/>
          <w:szCs w:val="24"/>
        </w:rPr>
        <w:t xml:space="preserve"> further developed in SED 609</w:t>
      </w:r>
      <w:r w:rsidR="006477CA" w:rsidRPr="007639CB">
        <w:rPr>
          <w:color w:val="000000" w:themeColor="text1"/>
          <w:sz w:val="24"/>
          <w:szCs w:val="24"/>
        </w:rPr>
        <w:t xml:space="preserve">. </w:t>
      </w:r>
      <w:r w:rsidR="00812673" w:rsidRPr="007639CB">
        <w:rPr>
          <w:color w:val="000000" w:themeColor="text1"/>
          <w:sz w:val="24"/>
          <w:szCs w:val="24"/>
        </w:rPr>
        <w:t xml:space="preserve">An entire course section is dedicated to </w:t>
      </w:r>
      <w:r w:rsidRPr="007639CB">
        <w:rPr>
          <w:color w:val="000000" w:themeColor="text1"/>
          <w:sz w:val="24"/>
          <w:szCs w:val="24"/>
        </w:rPr>
        <w:t>discuss</w:t>
      </w:r>
      <w:r w:rsidR="00812673" w:rsidRPr="007639CB">
        <w:rPr>
          <w:color w:val="000000" w:themeColor="text1"/>
          <w:sz w:val="24"/>
          <w:szCs w:val="24"/>
        </w:rPr>
        <w:t xml:space="preserve">ing identification, assessment, and intervention using a Structured Language and Multisensory </w:t>
      </w:r>
      <w:r w:rsidR="003912AC" w:rsidRPr="007639CB">
        <w:rPr>
          <w:color w:val="000000" w:themeColor="text1"/>
          <w:sz w:val="24"/>
          <w:szCs w:val="24"/>
        </w:rPr>
        <w:t>Intervention</w:t>
      </w:r>
      <w:r w:rsidR="00812673" w:rsidRPr="007639CB">
        <w:rPr>
          <w:color w:val="000000" w:themeColor="text1"/>
          <w:sz w:val="24"/>
          <w:szCs w:val="24"/>
        </w:rPr>
        <w:t xml:space="preserve"> (CA Dyslexia Guidelines p,</w:t>
      </w:r>
      <w:r w:rsidR="003912AC" w:rsidRPr="007639CB">
        <w:rPr>
          <w:color w:val="000000" w:themeColor="text1"/>
          <w:sz w:val="24"/>
          <w:szCs w:val="24"/>
        </w:rPr>
        <w:t xml:space="preserve">64.) The course also requires the </w:t>
      </w:r>
      <w:r w:rsidRPr="007639CB">
        <w:rPr>
          <w:color w:val="000000" w:themeColor="text1"/>
          <w:sz w:val="24"/>
          <w:szCs w:val="24"/>
        </w:rPr>
        <w:t>c</w:t>
      </w:r>
      <w:r w:rsidR="003912AC" w:rsidRPr="007639CB">
        <w:rPr>
          <w:color w:val="000000" w:themeColor="text1"/>
          <w:sz w:val="24"/>
          <w:szCs w:val="24"/>
        </w:rPr>
        <w:t>andidates to explore Assistive Technology to support student</w:t>
      </w:r>
      <w:r w:rsidRPr="007639CB">
        <w:rPr>
          <w:color w:val="000000" w:themeColor="text1"/>
          <w:sz w:val="24"/>
          <w:szCs w:val="24"/>
        </w:rPr>
        <w:t>s</w:t>
      </w:r>
      <w:r w:rsidR="003912AC" w:rsidRPr="007639CB">
        <w:rPr>
          <w:color w:val="000000" w:themeColor="text1"/>
          <w:sz w:val="24"/>
          <w:szCs w:val="24"/>
        </w:rPr>
        <w:t xml:space="preserve"> with dyslexia as identified in the Guidelines. The assignment requires the </w:t>
      </w:r>
      <w:r w:rsidRPr="007639CB">
        <w:rPr>
          <w:color w:val="000000" w:themeColor="text1"/>
          <w:sz w:val="24"/>
          <w:szCs w:val="24"/>
        </w:rPr>
        <w:t>c</w:t>
      </w:r>
      <w:r w:rsidR="003912AC" w:rsidRPr="007639CB">
        <w:rPr>
          <w:color w:val="000000" w:themeColor="text1"/>
          <w:sz w:val="24"/>
          <w:szCs w:val="24"/>
        </w:rPr>
        <w:t xml:space="preserve">andidates to </w:t>
      </w:r>
      <w:r w:rsidR="0021740D" w:rsidRPr="007639CB">
        <w:rPr>
          <w:color w:val="000000" w:themeColor="text1"/>
          <w:sz w:val="24"/>
          <w:szCs w:val="24"/>
        </w:rPr>
        <w:t>develop a</w:t>
      </w:r>
      <w:r w:rsidR="003912AC" w:rsidRPr="007639CB">
        <w:rPr>
          <w:color w:val="000000" w:themeColor="text1"/>
          <w:sz w:val="24"/>
          <w:szCs w:val="24"/>
        </w:rPr>
        <w:t xml:space="preserve"> technology toolkit specific </w:t>
      </w:r>
      <w:r w:rsidRPr="007639CB">
        <w:rPr>
          <w:color w:val="000000" w:themeColor="text1"/>
          <w:sz w:val="24"/>
          <w:szCs w:val="24"/>
        </w:rPr>
        <w:t>to</w:t>
      </w:r>
      <w:r w:rsidR="003912AC" w:rsidRPr="007639CB">
        <w:rPr>
          <w:color w:val="000000" w:themeColor="text1"/>
          <w:sz w:val="24"/>
          <w:szCs w:val="24"/>
        </w:rPr>
        <w:t xml:space="preserve"> the student in the case study. Further</w:t>
      </w:r>
      <w:r w:rsidRPr="007639CB">
        <w:rPr>
          <w:color w:val="000000" w:themeColor="text1"/>
          <w:sz w:val="24"/>
          <w:szCs w:val="24"/>
        </w:rPr>
        <w:t>,</w:t>
      </w:r>
      <w:r w:rsidR="003912AC" w:rsidRPr="007639CB">
        <w:rPr>
          <w:color w:val="000000" w:themeColor="text1"/>
          <w:sz w:val="24"/>
          <w:szCs w:val="24"/>
        </w:rPr>
        <w:t xml:space="preserve"> a weekly Literacy Graphic Organizer is presented which address</w:t>
      </w:r>
      <w:r w:rsidRPr="007639CB">
        <w:rPr>
          <w:color w:val="000000" w:themeColor="text1"/>
          <w:sz w:val="24"/>
          <w:szCs w:val="24"/>
        </w:rPr>
        <w:t>es</w:t>
      </w:r>
      <w:r w:rsidR="003912AC" w:rsidRPr="007639CB">
        <w:rPr>
          <w:color w:val="000000" w:themeColor="text1"/>
          <w:sz w:val="24"/>
          <w:szCs w:val="24"/>
        </w:rPr>
        <w:t xml:space="preserve"> each of the domains in reading </w:t>
      </w:r>
      <w:r w:rsidR="004479AC" w:rsidRPr="007639CB">
        <w:rPr>
          <w:color w:val="000000" w:themeColor="text1"/>
          <w:sz w:val="24"/>
          <w:szCs w:val="24"/>
        </w:rPr>
        <w:t xml:space="preserve">from the Literacy TPE </w:t>
      </w:r>
      <w:r w:rsidR="00DF2998" w:rsidRPr="007639CB">
        <w:rPr>
          <w:color w:val="000000" w:themeColor="text1"/>
          <w:sz w:val="24"/>
          <w:szCs w:val="24"/>
        </w:rPr>
        <w:t>(</w:t>
      </w:r>
      <w:r w:rsidR="0021740D" w:rsidRPr="007639CB">
        <w:rPr>
          <w:color w:val="000000" w:themeColor="text1"/>
          <w:sz w:val="24"/>
          <w:szCs w:val="24"/>
        </w:rPr>
        <w:t>CTC,</w:t>
      </w:r>
      <w:r w:rsidR="004479AC" w:rsidRPr="007639CB">
        <w:rPr>
          <w:color w:val="000000" w:themeColor="text1"/>
          <w:sz w:val="24"/>
          <w:szCs w:val="24"/>
        </w:rPr>
        <w:t xml:space="preserve"> 2019) and address</w:t>
      </w:r>
      <w:r w:rsidRPr="007639CB">
        <w:rPr>
          <w:color w:val="000000" w:themeColor="text1"/>
          <w:sz w:val="24"/>
          <w:szCs w:val="24"/>
        </w:rPr>
        <w:t>es</w:t>
      </w:r>
      <w:r w:rsidR="004479AC" w:rsidRPr="007639CB">
        <w:rPr>
          <w:color w:val="000000" w:themeColor="text1"/>
          <w:sz w:val="24"/>
          <w:szCs w:val="24"/>
        </w:rPr>
        <w:t xml:space="preserve"> the areas of AAC option for students with disabilities</w:t>
      </w:r>
      <w:r w:rsidRPr="007639CB">
        <w:rPr>
          <w:color w:val="000000" w:themeColor="text1"/>
          <w:sz w:val="24"/>
          <w:szCs w:val="24"/>
        </w:rPr>
        <w:t>.</w:t>
      </w:r>
    </w:p>
    <w:p w14:paraId="2EC9310A" w14:textId="7C65604A" w:rsidR="00A80C09" w:rsidRPr="007639CB" w:rsidRDefault="0031202B" w:rsidP="00A80C09">
      <w:pPr>
        <w:pStyle w:val="ListParagraph"/>
        <w:numPr>
          <w:ilvl w:val="0"/>
          <w:numId w:val="1"/>
        </w:numPr>
        <w:rPr>
          <w:rFonts w:cstheme="minorHAnsi"/>
          <w:b/>
          <w:bCs/>
          <w:color w:val="000000" w:themeColor="text1"/>
          <w:sz w:val="24"/>
          <w:szCs w:val="24"/>
        </w:rPr>
      </w:pPr>
      <w:r w:rsidRPr="007639CB">
        <w:rPr>
          <w:b/>
          <w:bCs/>
          <w:color w:val="000000" w:themeColor="text1"/>
          <w:sz w:val="24"/>
          <w:szCs w:val="24"/>
        </w:rPr>
        <w:t>Describe</w:t>
      </w:r>
      <w:r w:rsidR="00A80C09" w:rsidRPr="007639CB">
        <w:rPr>
          <w:b/>
          <w:bCs/>
          <w:color w:val="000000" w:themeColor="text1"/>
          <w:sz w:val="24"/>
          <w:szCs w:val="24"/>
        </w:rPr>
        <w:t xml:space="preserve"> the need for revision</w:t>
      </w:r>
      <w:r w:rsidR="00FF7BD4" w:rsidRPr="007639CB">
        <w:rPr>
          <w:b/>
          <w:bCs/>
          <w:color w:val="000000" w:themeColor="text1"/>
          <w:sz w:val="24"/>
          <w:szCs w:val="24"/>
        </w:rPr>
        <w:t xml:space="preserve"> – reference TPE and Dyslexia Guidelines</w:t>
      </w:r>
      <w:r w:rsidR="00D74F41" w:rsidRPr="007639CB">
        <w:rPr>
          <w:b/>
          <w:bCs/>
          <w:color w:val="000000" w:themeColor="text1"/>
          <w:sz w:val="24"/>
          <w:szCs w:val="24"/>
        </w:rPr>
        <w:t>, literacy TPE, RTI in general education</w:t>
      </w:r>
      <w:r w:rsidR="007639CB" w:rsidRPr="007639CB">
        <w:rPr>
          <w:b/>
          <w:bCs/>
          <w:color w:val="000000" w:themeColor="text1"/>
          <w:sz w:val="24"/>
          <w:szCs w:val="24"/>
        </w:rPr>
        <w:t>.</w:t>
      </w:r>
    </w:p>
    <w:p w14:paraId="1DEF88F1" w14:textId="2FC043CC" w:rsidR="00DF2998" w:rsidRPr="007639CB" w:rsidRDefault="00DF2998" w:rsidP="00DF2998">
      <w:pPr>
        <w:pStyle w:val="NormalWeb"/>
        <w:rPr>
          <w:rFonts w:asciiTheme="minorHAnsi" w:hAnsiTheme="minorHAnsi" w:cstheme="minorHAnsi"/>
          <w:color w:val="000000" w:themeColor="text1"/>
        </w:rPr>
      </w:pPr>
      <w:r w:rsidRPr="007639CB">
        <w:rPr>
          <w:rFonts w:asciiTheme="minorHAnsi" w:hAnsiTheme="minorHAnsi" w:cstheme="minorHAnsi"/>
          <w:color w:val="000000" w:themeColor="text1"/>
        </w:rPr>
        <w:t>General Education</w:t>
      </w:r>
    </w:p>
    <w:p w14:paraId="25709443" w14:textId="3488504C" w:rsidR="001243AA" w:rsidRPr="007639CB" w:rsidRDefault="00DF2998" w:rsidP="7158C77F">
      <w:pPr>
        <w:pStyle w:val="NormalWeb"/>
        <w:ind w:firstLine="720"/>
        <w:rPr>
          <w:rFonts w:asciiTheme="minorHAnsi" w:hAnsiTheme="minorHAnsi" w:cstheme="minorBidi"/>
          <w:color w:val="000000" w:themeColor="text1"/>
        </w:rPr>
      </w:pPr>
      <w:r w:rsidRPr="007639CB">
        <w:rPr>
          <w:rFonts w:asciiTheme="minorHAnsi" w:hAnsiTheme="minorHAnsi" w:cstheme="minorBidi"/>
          <w:color w:val="000000" w:themeColor="text1"/>
        </w:rPr>
        <w:t>Teachers are expected</w:t>
      </w:r>
      <w:r w:rsidR="00DC2737" w:rsidRPr="007639CB">
        <w:rPr>
          <w:rFonts w:asciiTheme="minorHAnsi" w:hAnsiTheme="minorHAnsi" w:cstheme="minorBidi"/>
          <w:color w:val="000000" w:themeColor="text1"/>
        </w:rPr>
        <w:t xml:space="preserve"> </w:t>
      </w:r>
      <w:r w:rsidRPr="007639CB">
        <w:rPr>
          <w:rFonts w:asciiTheme="minorHAnsi" w:hAnsiTheme="minorHAnsi" w:cstheme="minorBidi"/>
          <w:color w:val="000000" w:themeColor="text1"/>
        </w:rPr>
        <w:t xml:space="preserve">to demonstrate an understanding of the </w:t>
      </w:r>
      <w:r w:rsidR="006477CA" w:rsidRPr="007639CB">
        <w:rPr>
          <w:rFonts w:asciiTheme="minorHAnsi" w:hAnsiTheme="minorHAnsi" w:cstheme="minorBidi"/>
          <w:color w:val="000000" w:themeColor="text1"/>
        </w:rPr>
        <w:t>diverse needs</w:t>
      </w:r>
      <w:r w:rsidRPr="007639CB">
        <w:rPr>
          <w:rFonts w:asciiTheme="minorHAnsi" w:hAnsiTheme="minorHAnsi" w:cstheme="minorBidi"/>
          <w:color w:val="000000" w:themeColor="text1"/>
        </w:rPr>
        <w:t xml:space="preserve"> of students, from students whose only need is to acquire proficiency in reading to children whose disability affects their acquisition of this proficiency. Teachers are expected to adapt </w:t>
      </w:r>
      <w:r w:rsidR="007639CB">
        <w:rPr>
          <w:rFonts w:asciiTheme="minorHAnsi" w:hAnsiTheme="minorHAnsi" w:cstheme="minorBidi"/>
          <w:color w:val="000000" w:themeColor="text1"/>
        </w:rPr>
        <w:t xml:space="preserve">the </w:t>
      </w:r>
      <w:r w:rsidRPr="007639CB">
        <w:rPr>
          <w:rFonts w:asciiTheme="minorHAnsi" w:hAnsiTheme="minorHAnsi" w:cstheme="minorBidi"/>
          <w:color w:val="000000" w:themeColor="text1"/>
        </w:rPr>
        <w:t xml:space="preserve">curriculum and support students in </w:t>
      </w:r>
      <w:r w:rsidR="007639CB">
        <w:rPr>
          <w:rFonts w:asciiTheme="minorHAnsi" w:hAnsiTheme="minorHAnsi" w:cstheme="minorBidi"/>
          <w:color w:val="000000" w:themeColor="text1"/>
        </w:rPr>
        <w:t>acquiring</w:t>
      </w:r>
      <w:r w:rsidRPr="007639CB">
        <w:rPr>
          <w:rFonts w:asciiTheme="minorHAnsi" w:hAnsiTheme="minorHAnsi" w:cstheme="minorBidi"/>
          <w:color w:val="000000" w:themeColor="text1"/>
        </w:rPr>
        <w:t xml:space="preserve"> academic subject matter. Teacher candidates are expected to plan, design, assess, implement, monitor, and</w:t>
      </w:r>
      <w:r w:rsidR="00B10A51" w:rsidRPr="007639CB">
        <w:rPr>
          <w:rFonts w:asciiTheme="minorHAnsi" w:hAnsiTheme="minorHAnsi" w:cstheme="minorBidi"/>
          <w:color w:val="000000" w:themeColor="text1"/>
        </w:rPr>
        <w:t xml:space="preserve"> </w:t>
      </w:r>
      <w:r w:rsidRPr="007639CB">
        <w:rPr>
          <w:rFonts w:asciiTheme="minorHAnsi" w:hAnsiTheme="minorHAnsi" w:cstheme="minorBidi"/>
          <w:color w:val="000000" w:themeColor="text1"/>
        </w:rPr>
        <w:t xml:space="preserve">reflect on instruction for all children, regardless of their educational needs. To meet these expectations, teachers must be able to identify when their students are not being successful and offer appropriate remedial instruction. The current courses in the General Education department are lacking in these areas when it comes to dyslexic children. </w:t>
      </w:r>
    </w:p>
    <w:p w14:paraId="15107F70" w14:textId="6BE197A3" w:rsidR="00A80C09" w:rsidRPr="007639CB" w:rsidRDefault="00DF2998" w:rsidP="7158C77F">
      <w:pPr>
        <w:pStyle w:val="NormalWeb"/>
        <w:ind w:firstLine="720"/>
        <w:rPr>
          <w:rFonts w:asciiTheme="minorHAnsi" w:hAnsiTheme="minorHAnsi" w:cstheme="minorBidi"/>
          <w:color w:val="000000" w:themeColor="text1"/>
        </w:rPr>
      </w:pPr>
      <w:r w:rsidRPr="007639CB">
        <w:rPr>
          <w:rFonts w:asciiTheme="minorHAnsi" w:hAnsiTheme="minorHAnsi" w:cstheme="minorBidi"/>
          <w:color w:val="000000" w:themeColor="text1"/>
        </w:rPr>
        <w:lastRenderedPageBreak/>
        <w:t xml:space="preserve">Early diagnosis is especially critical in addressing conditions </w:t>
      </w:r>
      <w:r w:rsidR="007639CB">
        <w:rPr>
          <w:rFonts w:asciiTheme="minorHAnsi" w:hAnsiTheme="minorHAnsi" w:cstheme="minorBidi"/>
          <w:color w:val="000000" w:themeColor="text1"/>
        </w:rPr>
        <w:t>that</w:t>
      </w:r>
      <w:r w:rsidRPr="007639CB">
        <w:rPr>
          <w:rFonts w:asciiTheme="minorHAnsi" w:hAnsiTheme="minorHAnsi" w:cstheme="minorBidi"/>
          <w:color w:val="000000" w:themeColor="text1"/>
        </w:rPr>
        <w:t xml:space="preserve"> result in an achievement gap, especially for children with dyslexia, so initial screening, identification, and remediation are essential. </w:t>
      </w:r>
      <w:r w:rsidR="001243AA" w:rsidRPr="007639CB">
        <w:rPr>
          <w:rFonts w:asciiTheme="minorHAnsi" w:hAnsiTheme="minorHAnsi" w:cstheme="minorBidi"/>
          <w:color w:val="000000" w:themeColor="text1"/>
        </w:rPr>
        <w:t xml:space="preserve">One of the </w:t>
      </w:r>
      <w:r w:rsidR="007639CB">
        <w:rPr>
          <w:rFonts w:asciiTheme="minorHAnsi" w:hAnsiTheme="minorHAnsi" w:cstheme="minorBidi"/>
          <w:color w:val="000000" w:themeColor="text1"/>
        </w:rPr>
        <w:t>most significan</w:t>
      </w:r>
      <w:r w:rsidR="001243AA" w:rsidRPr="007639CB">
        <w:rPr>
          <w:rFonts w:asciiTheme="minorHAnsi" w:hAnsiTheme="minorHAnsi" w:cstheme="minorBidi"/>
          <w:color w:val="000000" w:themeColor="text1"/>
        </w:rPr>
        <w:t>t factors contributing to lower achievement scores in reading is the lack of early and accurate identification of students with dyslexia</w:t>
      </w:r>
      <w:r w:rsidR="006477CA" w:rsidRPr="007639CB">
        <w:rPr>
          <w:rFonts w:asciiTheme="minorHAnsi" w:hAnsiTheme="minorHAnsi" w:cstheme="minorBidi"/>
          <w:color w:val="000000" w:themeColor="text1"/>
        </w:rPr>
        <w:t xml:space="preserve">. </w:t>
      </w:r>
      <w:r w:rsidR="00C80F9B" w:rsidRPr="007639CB">
        <w:rPr>
          <w:rFonts w:asciiTheme="minorHAnsi" w:hAnsiTheme="minorHAnsi" w:cstheme="minorBidi"/>
          <w:color w:val="000000" w:themeColor="text1"/>
        </w:rPr>
        <w:t xml:space="preserve">Following identification, </w:t>
      </w:r>
      <w:r w:rsidR="007639CB">
        <w:rPr>
          <w:rFonts w:asciiTheme="minorHAnsi" w:hAnsiTheme="minorHAnsi" w:cstheme="minorBidi"/>
          <w:color w:val="000000" w:themeColor="text1"/>
        </w:rPr>
        <w:t>classroom teachers must</w:t>
      </w:r>
      <w:r w:rsidR="00C80F9B" w:rsidRPr="007639CB">
        <w:rPr>
          <w:rFonts w:asciiTheme="minorHAnsi" w:hAnsiTheme="minorHAnsi" w:cstheme="minorBidi"/>
          <w:color w:val="000000" w:themeColor="text1"/>
        </w:rPr>
        <w:t xml:space="preserve"> implement reading programs </w:t>
      </w:r>
      <w:r w:rsidR="007639CB">
        <w:rPr>
          <w:rFonts w:asciiTheme="minorHAnsi" w:hAnsiTheme="minorHAnsi" w:cstheme="minorBidi"/>
          <w:color w:val="000000" w:themeColor="text1"/>
        </w:rPr>
        <w:t>that</w:t>
      </w:r>
      <w:r w:rsidR="00C80F9B" w:rsidRPr="007639CB">
        <w:rPr>
          <w:rFonts w:asciiTheme="minorHAnsi" w:hAnsiTheme="minorHAnsi" w:cstheme="minorBidi"/>
          <w:color w:val="000000" w:themeColor="text1"/>
        </w:rPr>
        <w:t xml:space="preserve"> have been proven effective with children with dyslexia</w:t>
      </w:r>
      <w:r w:rsidR="006477CA" w:rsidRPr="007639CB">
        <w:rPr>
          <w:rFonts w:asciiTheme="minorHAnsi" w:hAnsiTheme="minorHAnsi" w:cstheme="minorBidi"/>
          <w:color w:val="000000" w:themeColor="text1"/>
        </w:rPr>
        <w:t xml:space="preserve">. </w:t>
      </w:r>
      <w:r w:rsidR="00C80F9B" w:rsidRPr="007639CB">
        <w:rPr>
          <w:rFonts w:asciiTheme="minorHAnsi" w:hAnsiTheme="minorHAnsi" w:cstheme="minorBidi"/>
          <w:color w:val="000000" w:themeColor="text1"/>
        </w:rPr>
        <w:t>A multi-tiered system of support should be implemented to address the needs of a child identified with dyslexia</w:t>
      </w:r>
      <w:r w:rsidR="006477CA" w:rsidRPr="007639CB">
        <w:rPr>
          <w:rFonts w:asciiTheme="minorHAnsi" w:hAnsiTheme="minorHAnsi" w:cstheme="minorBidi"/>
          <w:color w:val="000000" w:themeColor="text1"/>
        </w:rPr>
        <w:t xml:space="preserve">. </w:t>
      </w:r>
      <w:r w:rsidR="00C80F9B" w:rsidRPr="007639CB">
        <w:rPr>
          <w:rFonts w:asciiTheme="minorHAnsi" w:hAnsiTheme="minorHAnsi" w:cstheme="minorBidi"/>
          <w:color w:val="000000" w:themeColor="text1"/>
        </w:rPr>
        <w:t>This multi-tiered system of support begins with and includes support from the child’s classroom teacher</w:t>
      </w:r>
      <w:r w:rsidR="004F705E" w:rsidRPr="007639CB">
        <w:rPr>
          <w:rFonts w:asciiTheme="minorHAnsi" w:hAnsiTheme="minorHAnsi" w:cstheme="minorBidi"/>
          <w:color w:val="000000" w:themeColor="text1"/>
        </w:rPr>
        <w:t xml:space="preserve">, who </w:t>
      </w:r>
      <w:r w:rsidR="007639CB">
        <w:rPr>
          <w:rFonts w:asciiTheme="minorHAnsi" w:hAnsiTheme="minorHAnsi" w:cstheme="minorBidi"/>
          <w:color w:val="000000" w:themeColor="text1"/>
        </w:rPr>
        <w:t>knows</w:t>
      </w:r>
      <w:r w:rsidR="004F705E" w:rsidRPr="007639CB">
        <w:rPr>
          <w:rFonts w:asciiTheme="minorHAnsi" w:hAnsiTheme="minorHAnsi" w:cstheme="minorBidi"/>
          <w:color w:val="000000" w:themeColor="text1"/>
        </w:rPr>
        <w:t xml:space="preserve"> assessment, </w:t>
      </w:r>
      <w:r w:rsidR="006477CA" w:rsidRPr="007639CB">
        <w:rPr>
          <w:rFonts w:asciiTheme="minorHAnsi" w:hAnsiTheme="minorHAnsi" w:cstheme="minorBidi"/>
          <w:color w:val="000000" w:themeColor="text1"/>
        </w:rPr>
        <w:t>referral,</w:t>
      </w:r>
      <w:r w:rsidR="004F705E" w:rsidRPr="007639CB">
        <w:rPr>
          <w:rFonts w:asciiTheme="minorHAnsi" w:hAnsiTheme="minorHAnsi" w:cstheme="minorBidi"/>
          <w:color w:val="000000" w:themeColor="text1"/>
        </w:rPr>
        <w:t xml:space="preserve"> and remediation processes for the dyslexic child</w:t>
      </w:r>
      <w:r w:rsidR="006477CA" w:rsidRPr="007639CB">
        <w:rPr>
          <w:rFonts w:asciiTheme="minorHAnsi" w:hAnsiTheme="minorHAnsi" w:cstheme="minorBidi"/>
          <w:color w:val="000000" w:themeColor="text1"/>
        </w:rPr>
        <w:t xml:space="preserve">. </w:t>
      </w:r>
      <w:r w:rsidRPr="007639CB">
        <w:rPr>
          <w:rFonts w:asciiTheme="minorHAnsi" w:hAnsiTheme="minorHAnsi" w:cstheme="minorBidi"/>
          <w:color w:val="000000" w:themeColor="text1"/>
        </w:rPr>
        <w:t xml:space="preserve">Current course content for multiple and single subject students does not </w:t>
      </w:r>
      <w:r w:rsidR="006477CA" w:rsidRPr="007639CB">
        <w:rPr>
          <w:rFonts w:asciiTheme="minorHAnsi" w:hAnsiTheme="minorHAnsi" w:cstheme="minorBidi"/>
          <w:color w:val="000000" w:themeColor="text1"/>
        </w:rPr>
        <w:t>instruct</w:t>
      </w:r>
      <w:r w:rsidRPr="007639CB">
        <w:rPr>
          <w:rFonts w:asciiTheme="minorHAnsi" w:hAnsiTheme="minorHAnsi" w:cstheme="minorBidi"/>
          <w:color w:val="000000" w:themeColor="text1"/>
        </w:rPr>
        <w:t xml:space="preserve"> students in these areas.</w:t>
      </w:r>
    </w:p>
    <w:p w14:paraId="507A2250" w14:textId="52E6D771" w:rsidR="00A80C09" w:rsidRPr="007639CB" w:rsidRDefault="00A80C09" w:rsidP="7158C77F">
      <w:pPr>
        <w:ind w:firstLine="720"/>
        <w:rPr>
          <w:color w:val="000000" w:themeColor="text1"/>
          <w:sz w:val="24"/>
          <w:szCs w:val="24"/>
        </w:rPr>
      </w:pPr>
      <w:r w:rsidRPr="007639CB">
        <w:rPr>
          <w:color w:val="000000" w:themeColor="text1"/>
          <w:sz w:val="24"/>
          <w:szCs w:val="24"/>
        </w:rPr>
        <w:t>Special Education</w:t>
      </w:r>
      <w:r w:rsidR="004479AC" w:rsidRPr="007639CB">
        <w:rPr>
          <w:color w:val="000000" w:themeColor="text1"/>
          <w:sz w:val="24"/>
          <w:szCs w:val="24"/>
        </w:rPr>
        <w:t xml:space="preserve"> – While the course outlines for SED 607 and SED 609 have been developed and approved and will be going online in January, there is a need to provide professional development to the Adjunct Instructors who will be teaching the Candidates, both Interns and Student Teachers. As California has not </w:t>
      </w:r>
      <w:r w:rsidR="007639CB">
        <w:rPr>
          <w:color w:val="000000" w:themeColor="text1"/>
          <w:sz w:val="24"/>
          <w:szCs w:val="24"/>
        </w:rPr>
        <w:t>systematically addressed dyslexia,</w:t>
      </w:r>
      <w:r w:rsidR="004479AC" w:rsidRPr="007639CB">
        <w:rPr>
          <w:color w:val="000000" w:themeColor="text1"/>
          <w:sz w:val="24"/>
          <w:szCs w:val="24"/>
        </w:rPr>
        <w:t xml:space="preserve"> a dearth of information </w:t>
      </w:r>
      <w:r w:rsidR="007639CB">
        <w:rPr>
          <w:color w:val="000000" w:themeColor="text1"/>
          <w:sz w:val="24"/>
          <w:szCs w:val="24"/>
        </w:rPr>
        <w:t xml:space="preserve">is </w:t>
      </w:r>
      <w:r w:rsidR="004479AC" w:rsidRPr="007639CB">
        <w:rPr>
          <w:color w:val="000000" w:themeColor="text1"/>
          <w:sz w:val="24"/>
          <w:szCs w:val="24"/>
        </w:rPr>
        <w:t>available to our instructors</w:t>
      </w:r>
      <w:r w:rsidR="007639CB">
        <w:rPr>
          <w:color w:val="000000" w:themeColor="text1"/>
          <w:sz w:val="24"/>
          <w:szCs w:val="24"/>
        </w:rPr>
        <w:t>,</w:t>
      </w:r>
      <w:r w:rsidR="004479AC" w:rsidRPr="007639CB">
        <w:rPr>
          <w:color w:val="000000" w:themeColor="text1"/>
          <w:sz w:val="24"/>
          <w:szCs w:val="24"/>
        </w:rPr>
        <w:t xml:space="preserve"> although they continue to update the</w:t>
      </w:r>
      <w:r w:rsidR="007639CB">
        <w:rPr>
          <w:color w:val="000000" w:themeColor="text1"/>
          <w:sz w:val="24"/>
          <w:szCs w:val="24"/>
        </w:rPr>
        <w:t>ir</w:t>
      </w:r>
      <w:r w:rsidR="004479AC" w:rsidRPr="007639CB">
        <w:rPr>
          <w:color w:val="000000" w:themeColor="text1"/>
          <w:sz w:val="24"/>
          <w:szCs w:val="24"/>
        </w:rPr>
        <w:t xml:space="preserve"> professional portfolios and CEUs</w:t>
      </w:r>
      <w:r w:rsidR="006477CA" w:rsidRPr="007639CB">
        <w:rPr>
          <w:color w:val="000000" w:themeColor="text1"/>
          <w:sz w:val="24"/>
          <w:szCs w:val="24"/>
        </w:rPr>
        <w:t xml:space="preserve">. </w:t>
      </w:r>
    </w:p>
    <w:p w14:paraId="5BEBB5B3" w14:textId="5E51DBF3" w:rsidR="002160D8" w:rsidRPr="007639CB" w:rsidRDefault="004479AC" w:rsidP="7158C77F">
      <w:pPr>
        <w:ind w:firstLine="720"/>
        <w:rPr>
          <w:color w:val="000000" w:themeColor="text1"/>
          <w:sz w:val="24"/>
          <w:szCs w:val="24"/>
        </w:rPr>
      </w:pPr>
      <w:r w:rsidRPr="007639CB">
        <w:rPr>
          <w:color w:val="000000" w:themeColor="text1"/>
          <w:sz w:val="24"/>
          <w:szCs w:val="24"/>
        </w:rPr>
        <w:t>This gran</w:t>
      </w:r>
      <w:r w:rsidR="002160D8" w:rsidRPr="007639CB">
        <w:rPr>
          <w:color w:val="000000" w:themeColor="text1"/>
          <w:sz w:val="24"/>
          <w:szCs w:val="24"/>
        </w:rPr>
        <w:t>t</w:t>
      </w:r>
      <w:r w:rsidRPr="007639CB">
        <w:rPr>
          <w:color w:val="000000" w:themeColor="text1"/>
          <w:sz w:val="24"/>
          <w:szCs w:val="24"/>
        </w:rPr>
        <w:t xml:space="preserve"> would provide funding for the professional development </w:t>
      </w:r>
      <w:r w:rsidR="007639CB">
        <w:rPr>
          <w:color w:val="000000" w:themeColor="text1"/>
          <w:sz w:val="24"/>
          <w:szCs w:val="24"/>
        </w:rPr>
        <w:t>of</w:t>
      </w:r>
      <w:r w:rsidRPr="007639CB">
        <w:rPr>
          <w:color w:val="000000" w:themeColor="text1"/>
          <w:sz w:val="24"/>
          <w:szCs w:val="24"/>
        </w:rPr>
        <w:t xml:space="preserve"> the Department of Special Education </w:t>
      </w:r>
      <w:r w:rsidR="007639CB">
        <w:rPr>
          <w:color w:val="000000" w:themeColor="text1"/>
          <w:sz w:val="24"/>
          <w:szCs w:val="24"/>
        </w:rPr>
        <w:t xml:space="preserve">faculty </w:t>
      </w:r>
      <w:r w:rsidR="002160D8" w:rsidRPr="007639CB">
        <w:rPr>
          <w:color w:val="000000" w:themeColor="text1"/>
          <w:sz w:val="24"/>
          <w:szCs w:val="24"/>
        </w:rPr>
        <w:t xml:space="preserve">and </w:t>
      </w:r>
      <w:r w:rsidR="00FF16C9" w:rsidRPr="007639CB">
        <w:rPr>
          <w:color w:val="000000" w:themeColor="text1"/>
          <w:sz w:val="24"/>
          <w:szCs w:val="24"/>
        </w:rPr>
        <w:t xml:space="preserve">compensation for </w:t>
      </w:r>
      <w:r w:rsidR="002160D8" w:rsidRPr="007639CB">
        <w:rPr>
          <w:color w:val="000000" w:themeColor="text1"/>
          <w:sz w:val="24"/>
          <w:szCs w:val="24"/>
        </w:rPr>
        <w:t>the Adjunct Instructors to attend</w:t>
      </w:r>
      <w:r w:rsidR="006477CA" w:rsidRPr="007639CB">
        <w:rPr>
          <w:color w:val="000000" w:themeColor="text1"/>
          <w:sz w:val="24"/>
          <w:szCs w:val="24"/>
        </w:rPr>
        <w:t xml:space="preserve">. </w:t>
      </w:r>
      <w:r w:rsidR="002160D8" w:rsidRPr="007639CB">
        <w:rPr>
          <w:color w:val="000000" w:themeColor="text1"/>
          <w:sz w:val="24"/>
          <w:szCs w:val="24"/>
        </w:rPr>
        <w:t>The professional development w</w:t>
      </w:r>
      <w:r w:rsidR="007639CB">
        <w:rPr>
          <w:color w:val="000000" w:themeColor="text1"/>
          <w:sz w:val="24"/>
          <w:szCs w:val="24"/>
        </w:rPr>
        <w:t>ill</w:t>
      </w:r>
      <w:r w:rsidR="002160D8" w:rsidRPr="007639CB">
        <w:rPr>
          <w:color w:val="000000" w:themeColor="text1"/>
          <w:sz w:val="24"/>
          <w:szCs w:val="24"/>
        </w:rPr>
        <w:t xml:space="preserve"> be presented via </w:t>
      </w:r>
      <w:r w:rsidR="007639CB">
        <w:rPr>
          <w:color w:val="000000" w:themeColor="text1"/>
          <w:sz w:val="24"/>
          <w:szCs w:val="24"/>
        </w:rPr>
        <w:t>Zoom,</w:t>
      </w:r>
      <w:r w:rsidR="002160D8" w:rsidRPr="007639CB">
        <w:rPr>
          <w:color w:val="000000" w:themeColor="text1"/>
          <w:sz w:val="24"/>
          <w:szCs w:val="24"/>
        </w:rPr>
        <w:t xml:space="preserve"> and </w:t>
      </w:r>
      <w:r w:rsidR="007639CB">
        <w:rPr>
          <w:color w:val="000000" w:themeColor="text1"/>
          <w:sz w:val="24"/>
          <w:szCs w:val="24"/>
        </w:rPr>
        <w:t xml:space="preserve">a recording will be available </w:t>
      </w:r>
      <w:r w:rsidR="002160D8" w:rsidRPr="007639CB">
        <w:rPr>
          <w:color w:val="000000" w:themeColor="text1"/>
          <w:sz w:val="24"/>
          <w:szCs w:val="24"/>
        </w:rPr>
        <w:t xml:space="preserve">for those who cannot attend. Four </w:t>
      </w:r>
      <w:r w:rsidR="00FF16C9" w:rsidRPr="007639CB">
        <w:rPr>
          <w:color w:val="000000" w:themeColor="text1"/>
          <w:sz w:val="24"/>
          <w:szCs w:val="24"/>
        </w:rPr>
        <w:t>sessions</w:t>
      </w:r>
      <w:r w:rsidR="002160D8" w:rsidRPr="007639CB">
        <w:rPr>
          <w:color w:val="000000" w:themeColor="text1"/>
          <w:sz w:val="24"/>
          <w:szCs w:val="24"/>
        </w:rPr>
        <w:t xml:space="preserve"> w</w:t>
      </w:r>
      <w:r w:rsidR="007639CB">
        <w:rPr>
          <w:color w:val="000000" w:themeColor="text1"/>
          <w:sz w:val="24"/>
          <w:szCs w:val="24"/>
        </w:rPr>
        <w:t>ill</w:t>
      </w:r>
      <w:r w:rsidR="002160D8" w:rsidRPr="007639CB">
        <w:rPr>
          <w:color w:val="000000" w:themeColor="text1"/>
          <w:sz w:val="24"/>
          <w:szCs w:val="24"/>
        </w:rPr>
        <w:t xml:space="preserve"> be provided and allocated as follows:</w:t>
      </w:r>
    </w:p>
    <w:p w14:paraId="3ACD0D3F" w14:textId="31666862" w:rsidR="002160D8" w:rsidRPr="007639CB" w:rsidRDefault="002160D8" w:rsidP="00A80C09">
      <w:pPr>
        <w:rPr>
          <w:rFonts w:cstheme="minorHAnsi"/>
          <w:color w:val="000000" w:themeColor="text1"/>
          <w:sz w:val="24"/>
          <w:szCs w:val="24"/>
        </w:rPr>
      </w:pPr>
      <w:r w:rsidRPr="007639CB">
        <w:rPr>
          <w:rFonts w:cstheme="minorHAnsi"/>
          <w:color w:val="000000" w:themeColor="text1"/>
          <w:sz w:val="24"/>
          <w:szCs w:val="24"/>
        </w:rPr>
        <w:t>Session 1 – definition of dyslexia, neuroscience of dyslexia and screening tools for the classroom</w:t>
      </w:r>
    </w:p>
    <w:p w14:paraId="6F37558D" w14:textId="67BC544F" w:rsidR="002160D8" w:rsidRPr="007639CB" w:rsidRDefault="002160D8" w:rsidP="7158C77F">
      <w:pPr>
        <w:rPr>
          <w:color w:val="000000" w:themeColor="text1"/>
          <w:sz w:val="24"/>
          <w:szCs w:val="24"/>
        </w:rPr>
      </w:pPr>
      <w:r w:rsidRPr="007639CB">
        <w:rPr>
          <w:color w:val="000000" w:themeColor="text1"/>
          <w:sz w:val="24"/>
          <w:szCs w:val="24"/>
        </w:rPr>
        <w:t xml:space="preserve">Session 2 – differential diagnosis of dyslexia, </w:t>
      </w:r>
      <w:r w:rsidR="00D03BB3" w:rsidRPr="007639CB">
        <w:rPr>
          <w:color w:val="000000" w:themeColor="text1"/>
          <w:sz w:val="24"/>
          <w:szCs w:val="24"/>
        </w:rPr>
        <w:t>assessment tools (Guidelines, 2017, p. 49-53)</w:t>
      </w:r>
    </w:p>
    <w:p w14:paraId="429C08EE" w14:textId="53C3D915" w:rsidR="00D03BB3" w:rsidRPr="007639CB" w:rsidRDefault="00D03BB3" w:rsidP="00A80C09">
      <w:pPr>
        <w:rPr>
          <w:rFonts w:cstheme="minorHAnsi"/>
          <w:color w:val="000000" w:themeColor="text1"/>
          <w:sz w:val="24"/>
          <w:szCs w:val="24"/>
        </w:rPr>
      </w:pPr>
      <w:r w:rsidRPr="007639CB">
        <w:rPr>
          <w:rFonts w:cstheme="minorHAnsi"/>
          <w:color w:val="000000" w:themeColor="text1"/>
          <w:sz w:val="24"/>
          <w:szCs w:val="24"/>
        </w:rPr>
        <w:t>Session 3 – teaching students with dyslexia with evidence</w:t>
      </w:r>
      <w:r w:rsidR="007639CB" w:rsidRPr="007639CB">
        <w:rPr>
          <w:rFonts w:cstheme="minorHAnsi"/>
          <w:color w:val="000000" w:themeColor="text1"/>
          <w:sz w:val="24"/>
          <w:szCs w:val="24"/>
        </w:rPr>
        <w:t>-</w:t>
      </w:r>
      <w:r w:rsidRPr="007639CB">
        <w:rPr>
          <w:rFonts w:cstheme="minorHAnsi"/>
          <w:color w:val="000000" w:themeColor="text1"/>
          <w:sz w:val="24"/>
          <w:szCs w:val="24"/>
        </w:rPr>
        <w:t xml:space="preserve">based </w:t>
      </w:r>
      <w:r w:rsidR="00FF16C9" w:rsidRPr="007639CB">
        <w:rPr>
          <w:rFonts w:cstheme="minorHAnsi"/>
          <w:color w:val="000000" w:themeColor="text1"/>
          <w:sz w:val="24"/>
          <w:szCs w:val="24"/>
        </w:rPr>
        <w:t>S</w:t>
      </w:r>
      <w:r w:rsidRPr="007639CB">
        <w:rPr>
          <w:rFonts w:cstheme="minorHAnsi"/>
          <w:color w:val="000000" w:themeColor="text1"/>
          <w:sz w:val="24"/>
          <w:szCs w:val="24"/>
        </w:rPr>
        <w:t xml:space="preserve">tructured </w:t>
      </w:r>
      <w:r w:rsidR="00FF16C9" w:rsidRPr="007639CB">
        <w:rPr>
          <w:rFonts w:cstheme="minorHAnsi"/>
          <w:color w:val="000000" w:themeColor="text1"/>
          <w:sz w:val="24"/>
          <w:szCs w:val="24"/>
        </w:rPr>
        <w:t>L</w:t>
      </w:r>
      <w:r w:rsidRPr="007639CB">
        <w:rPr>
          <w:rFonts w:cstheme="minorHAnsi"/>
          <w:color w:val="000000" w:themeColor="text1"/>
          <w:sz w:val="24"/>
          <w:szCs w:val="24"/>
        </w:rPr>
        <w:t>iteracy</w:t>
      </w:r>
      <w:r w:rsidR="00FF16C9" w:rsidRPr="007639CB">
        <w:rPr>
          <w:rFonts w:cstheme="minorHAnsi"/>
          <w:color w:val="000000" w:themeColor="text1"/>
          <w:sz w:val="24"/>
          <w:szCs w:val="24"/>
        </w:rPr>
        <w:t xml:space="preserve"> instruction</w:t>
      </w:r>
      <w:r w:rsidRPr="007639CB">
        <w:rPr>
          <w:rFonts w:cstheme="minorHAnsi"/>
          <w:color w:val="000000" w:themeColor="text1"/>
          <w:sz w:val="24"/>
          <w:szCs w:val="24"/>
        </w:rPr>
        <w:t xml:space="preserve"> </w:t>
      </w:r>
    </w:p>
    <w:p w14:paraId="02064261" w14:textId="1152E1D3" w:rsidR="0080502E" w:rsidRPr="007639CB" w:rsidRDefault="00D03BB3" w:rsidP="00DF2998">
      <w:pPr>
        <w:rPr>
          <w:rFonts w:cstheme="minorHAnsi"/>
          <w:color w:val="000000" w:themeColor="text1"/>
          <w:sz w:val="24"/>
          <w:szCs w:val="24"/>
        </w:rPr>
      </w:pPr>
      <w:r w:rsidRPr="007639CB">
        <w:rPr>
          <w:rFonts w:cstheme="minorHAnsi"/>
          <w:color w:val="000000" w:themeColor="text1"/>
          <w:sz w:val="24"/>
          <w:szCs w:val="24"/>
        </w:rPr>
        <w:t xml:space="preserve">Session 4 – assistive technology to </w:t>
      </w:r>
      <w:r w:rsidR="007639CB" w:rsidRPr="007639CB">
        <w:rPr>
          <w:rFonts w:cstheme="minorHAnsi"/>
          <w:color w:val="000000" w:themeColor="text1"/>
          <w:sz w:val="24"/>
          <w:szCs w:val="24"/>
        </w:rPr>
        <w:t>Support S</w:t>
      </w:r>
      <w:r w:rsidRPr="007639CB">
        <w:rPr>
          <w:rFonts w:cstheme="minorHAnsi"/>
          <w:color w:val="000000" w:themeColor="text1"/>
          <w:sz w:val="24"/>
          <w:szCs w:val="24"/>
        </w:rPr>
        <w:t>tudents with dyslexia and supports to provide to parents</w:t>
      </w:r>
    </w:p>
    <w:p w14:paraId="12339B6F" w14:textId="385A013F" w:rsidR="00A80C09" w:rsidRPr="007639CB" w:rsidRDefault="00A80C09" w:rsidP="00A80C09">
      <w:pPr>
        <w:pStyle w:val="ListParagraph"/>
        <w:numPr>
          <w:ilvl w:val="0"/>
          <w:numId w:val="1"/>
        </w:numPr>
        <w:rPr>
          <w:rFonts w:cstheme="minorHAnsi"/>
          <w:b/>
          <w:bCs/>
          <w:color w:val="000000" w:themeColor="text1"/>
          <w:sz w:val="24"/>
          <w:szCs w:val="24"/>
        </w:rPr>
      </w:pPr>
      <w:r w:rsidRPr="007639CB">
        <w:rPr>
          <w:b/>
          <w:bCs/>
          <w:color w:val="000000" w:themeColor="text1"/>
          <w:sz w:val="24"/>
          <w:szCs w:val="24"/>
        </w:rPr>
        <w:t xml:space="preserve">Plan for Designing the new Curriculum </w:t>
      </w:r>
    </w:p>
    <w:p w14:paraId="78D2F64A" w14:textId="056FEB3F" w:rsidR="0080502E" w:rsidRPr="007639CB" w:rsidRDefault="00A80C09" w:rsidP="007E5B90">
      <w:pPr>
        <w:jc w:val="both"/>
        <w:rPr>
          <w:rFonts w:cstheme="minorHAnsi"/>
          <w:color w:val="000000" w:themeColor="text1"/>
          <w:sz w:val="24"/>
          <w:szCs w:val="24"/>
        </w:rPr>
      </w:pPr>
      <w:r w:rsidRPr="007639CB">
        <w:rPr>
          <w:rFonts w:cstheme="minorHAnsi"/>
          <w:color w:val="000000" w:themeColor="text1"/>
          <w:sz w:val="24"/>
          <w:szCs w:val="24"/>
        </w:rPr>
        <w:tab/>
      </w:r>
      <w:r w:rsidR="00DF2998" w:rsidRPr="007639CB">
        <w:rPr>
          <w:rFonts w:cstheme="minorHAnsi"/>
          <w:color w:val="000000" w:themeColor="text1"/>
          <w:sz w:val="24"/>
          <w:szCs w:val="24"/>
        </w:rPr>
        <w:t>The General Education ITL Course Lead will review current course content to determine its effectiveness in aligning with California Dyslexia Guidelines. Specific areas of need will be identified</w:t>
      </w:r>
      <w:r w:rsidR="007639CB">
        <w:rPr>
          <w:rFonts w:cstheme="minorHAnsi"/>
          <w:color w:val="000000" w:themeColor="text1"/>
          <w:sz w:val="24"/>
          <w:szCs w:val="24"/>
        </w:rPr>
        <w:t>,</w:t>
      </w:r>
      <w:r w:rsidR="00DF2998" w:rsidRPr="007639CB">
        <w:rPr>
          <w:rFonts w:cstheme="minorHAnsi"/>
          <w:color w:val="000000" w:themeColor="text1"/>
          <w:sz w:val="24"/>
          <w:szCs w:val="24"/>
        </w:rPr>
        <w:t xml:space="preserve"> and content necessary to educate the candidates in having a basic understanding of how dyslexia may be identified, screening methods, and effective in-class remediation strategies to address the needs of these students.</w:t>
      </w:r>
    </w:p>
    <w:p w14:paraId="71D95229" w14:textId="67B0E401" w:rsidR="00084924" w:rsidRPr="007639CB" w:rsidRDefault="00BE370F" w:rsidP="007E5B90">
      <w:pPr>
        <w:jc w:val="both"/>
        <w:rPr>
          <w:rFonts w:cstheme="minorHAnsi"/>
          <w:color w:val="000000" w:themeColor="text1"/>
          <w:sz w:val="24"/>
          <w:szCs w:val="24"/>
        </w:rPr>
      </w:pPr>
      <w:r w:rsidRPr="007639CB">
        <w:rPr>
          <w:rFonts w:cstheme="minorHAnsi"/>
          <w:color w:val="000000" w:themeColor="text1"/>
          <w:sz w:val="24"/>
          <w:szCs w:val="24"/>
        </w:rPr>
        <w:tab/>
        <w:t>Since the Special Education Department has been proactive in the development of course</w:t>
      </w:r>
      <w:r w:rsidR="007639CB">
        <w:rPr>
          <w:rFonts w:cstheme="minorHAnsi"/>
          <w:color w:val="000000" w:themeColor="text1"/>
          <w:sz w:val="24"/>
          <w:szCs w:val="24"/>
        </w:rPr>
        <w:t>s</w:t>
      </w:r>
      <w:r w:rsidRPr="007639CB">
        <w:rPr>
          <w:rFonts w:cstheme="minorHAnsi"/>
          <w:color w:val="000000" w:themeColor="text1"/>
          <w:sz w:val="24"/>
          <w:szCs w:val="24"/>
        </w:rPr>
        <w:t xml:space="preserve"> for Education Specialist candidates </w:t>
      </w:r>
      <w:r w:rsidR="007639CB">
        <w:rPr>
          <w:rFonts w:cstheme="minorHAnsi"/>
          <w:color w:val="000000" w:themeColor="text1"/>
          <w:sz w:val="24"/>
          <w:szCs w:val="24"/>
        </w:rPr>
        <w:t>that</w:t>
      </w:r>
      <w:r w:rsidRPr="007639CB">
        <w:rPr>
          <w:rFonts w:cstheme="minorHAnsi"/>
          <w:color w:val="000000" w:themeColor="text1"/>
          <w:sz w:val="24"/>
          <w:szCs w:val="24"/>
        </w:rPr>
        <w:t xml:space="preserve"> address the identification, assessment</w:t>
      </w:r>
      <w:r w:rsidR="007639CB">
        <w:rPr>
          <w:rFonts w:cstheme="minorHAnsi"/>
          <w:color w:val="000000" w:themeColor="text1"/>
          <w:sz w:val="24"/>
          <w:szCs w:val="24"/>
        </w:rPr>
        <w:t>,</w:t>
      </w:r>
      <w:r w:rsidRPr="007639CB">
        <w:rPr>
          <w:rFonts w:cstheme="minorHAnsi"/>
          <w:color w:val="000000" w:themeColor="text1"/>
          <w:sz w:val="24"/>
          <w:szCs w:val="24"/>
        </w:rPr>
        <w:t xml:space="preserve"> and </w:t>
      </w:r>
      <w:r w:rsidR="002A56DD" w:rsidRPr="007639CB">
        <w:rPr>
          <w:rFonts w:cstheme="minorHAnsi"/>
          <w:color w:val="000000" w:themeColor="text1"/>
          <w:sz w:val="24"/>
          <w:szCs w:val="24"/>
        </w:rPr>
        <w:lastRenderedPageBreak/>
        <w:t>interventions for students with dyslexia</w:t>
      </w:r>
      <w:r w:rsidR="007639CB">
        <w:rPr>
          <w:rFonts w:cstheme="minorHAnsi"/>
          <w:color w:val="000000" w:themeColor="text1"/>
          <w:sz w:val="24"/>
          <w:szCs w:val="24"/>
        </w:rPr>
        <w:t>,</w:t>
      </w:r>
      <w:r w:rsidR="002A56DD" w:rsidRPr="007639CB">
        <w:rPr>
          <w:rFonts w:cstheme="minorHAnsi"/>
          <w:color w:val="000000" w:themeColor="text1"/>
          <w:sz w:val="24"/>
          <w:szCs w:val="24"/>
        </w:rPr>
        <w:t xml:space="preserve"> these grant funds will be </w:t>
      </w:r>
      <w:r w:rsidR="007639CB">
        <w:rPr>
          <w:rFonts w:cstheme="minorHAnsi"/>
          <w:color w:val="000000" w:themeColor="text1"/>
          <w:sz w:val="24"/>
          <w:szCs w:val="24"/>
        </w:rPr>
        <w:t>used for</w:t>
      </w:r>
      <w:r w:rsidR="002A56DD" w:rsidRPr="007639CB">
        <w:rPr>
          <w:rFonts w:cstheme="minorHAnsi"/>
          <w:color w:val="000000" w:themeColor="text1"/>
          <w:sz w:val="24"/>
          <w:szCs w:val="24"/>
        </w:rPr>
        <w:t xml:space="preserve"> the development of a professional development series for the National University Adjunct Instructors. These sessions will introduce the </w:t>
      </w:r>
      <w:r w:rsidR="007639CB" w:rsidRPr="007639CB">
        <w:rPr>
          <w:rFonts w:cstheme="minorHAnsi"/>
          <w:color w:val="000000" w:themeColor="text1"/>
          <w:sz w:val="24"/>
          <w:szCs w:val="24"/>
        </w:rPr>
        <w:t>instructors</w:t>
      </w:r>
      <w:r w:rsidR="002A56DD" w:rsidRPr="007639CB">
        <w:rPr>
          <w:rFonts w:cstheme="minorHAnsi"/>
          <w:color w:val="000000" w:themeColor="text1"/>
          <w:sz w:val="24"/>
          <w:szCs w:val="24"/>
        </w:rPr>
        <w:t xml:space="preserve"> to the disability of dyslexia and then move through sessions to address screening, assessment</w:t>
      </w:r>
      <w:r w:rsidR="007639CB">
        <w:rPr>
          <w:rFonts w:cstheme="minorHAnsi"/>
          <w:color w:val="000000" w:themeColor="text1"/>
          <w:sz w:val="24"/>
          <w:szCs w:val="24"/>
        </w:rPr>
        <w:t>,</w:t>
      </w:r>
      <w:r w:rsidR="002A56DD" w:rsidRPr="007639CB">
        <w:rPr>
          <w:rFonts w:cstheme="minorHAnsi"/>
          <w:color w:val="000000" w:themeColor="text1"/>
          <w:sz w:val="24"/>
          <w:szCs w:val="24"/>
        </w:rPr>
        <w:t xml:space="preserve"> and interventions based on the Science of Reading and the standards develop</w:t>
      </w:r>
      <w:r w:rsidR="007639CB">
        <w:rPr>
          <w:rFonts w:cstheme="minorHAnsi"/>
          <w:color w:val="000000" w:themeColor="text1"/>
          <w:sz w:val="24"/>
          <w:szCs w:val="24"/>
        </w:rPr>
        <w:t>ed</w:t>
      </w:r>
      <w:r w:rsidR="002A56DD" w:rsidRPr="007639CB">
        <w:rPr>
          <w:rFonts w:cstheme="minorHAnsi"/>
          <w:color w:val="000000" w:themeColor="text1"/>
          <w:sz w:val="24"/>
          <w:szCs w:val="24"/>
        </w:rPr>
        <w:t xml:space="preserve"> by the International Dyslexia Association.  Following is a list of the four sessions and a draft of the information to be presented during each session. </w:t>
      </w:r>
    </w:p>
    <w:p w14:paraId="7C9A0968" w14:textId="679BC13A" w:rsidR="007E5B90" w:rsidRPr="007639CB" w:rsidRDefault="007E5B90" w:rsidP="007E5B90">
      <w:pPr>
        <w:spacing w:line="240" w:lineRule="auto"/>
        <w:rPr>
          <w:b/>
          <w:bCs/>
          <w:color w:val="000000" w:themeColor="text1"/>
          <w:sz w:val="24"/>
          <w:szCs w:val="24"/>
        </w:rPr>
      </w:pPr>
      <w:r w:rsidRPr="007639CB">
        <w:rPr>
          <w:b/>
          <w:bCs/>
          <w:color w:val="000000" w:themeColor="text1"/>
          <w:sz w:val="24"/>
          <w:szCs w:val="24"/>
        </w:rPr>
        <w:t xml:space="preserve">Proposed professional development for Adjunct Instructors Session 1 – Identification of Students with dyslexia </w:t>
      </w:r>
    </w:p>
    <w:p w14:paraId="3C67DE5B" w14:textId="77777777" w:rsidR="007E5B90" w:rsidRPr="007639CB" w:rsidRDefault="007E5B90" w:rsidP="007E5B90">
      <w:pPr>
        <w:spacing w:line="240" w:lineRule="auto"/>
        <w:ind w:firstLine="720"/>
        <w:rPr>
          <w:color w:val="000000" w:themeColor="text1"/>
          <w:sz w:val="24"/>
          <w:szCs w:val="24"/>
        </w:rPr>
      </w:pPr>
      <w:r w:rsidRPr="007639CB">
        <w:rPr>
          <w:color w:val="000000" w:themeColor="text1"/>
          <w:sz w:val="24"/>
          <w:szCs w:val="24"/>
        </w:rPr>
        <w:t>Definition of Dyslexia (CA Dyslexia Guidelines, 2017, p.3)</w:t>
      </w:r>
    </w:p>
    <w:p w14:paraId="77CA2165" w14:textId="77777777" w:rsidR="007E5B90" w:rsidRPr="007639CB" w:rsidRDefault="007E5B90" w:rsidP="007E5B90">
      <w:pPr>
        <w:spacing w:line="240" w:lineRule="auto"/>
        <w:ind w:left="720"/>
        <w:rPr>
          <w:color w:val="000000" w:themeColor="text1"/>
          <w:sz w:val="24"/>
          <w:szCs w:val="24"/>
        </w:rPr>
      </w:pPr>
      <w:r w:rsidRPr="007639CB">
        <w:rPr>
          <w:color w:val="000000" w:themeColor="text1"/>
          <w:sz w:val="24"/>
          <w:szCs w:val="24"/>
        </w:rPr>
        <w:t>Anatomy of brain with dyslexia (CA Dyslexia Guidelines, 2017, p.4) (Sousa, D., 2014, How the Brain learns to read)</w:t>
      </w:r>
    </w:p>
    <w:p w14:paraId="207025D1" w14:textId="77777777" w:rsidR="007E5B90" w:rsidRPr="007639CB" w:rsidRDefault="007E5B90" w:rsidP="007E5B90">
      <w:pPr>
        <w:spacing w:line="240" w:lineRule="auto"/>
        <w:ind w:firstLine="720"/>
        <w:rPr>
          <w:color w:val="000000" w:themeColor="text1"/>
          <w:sz w:val="24"/>
          <w:szCs w:val="24"/>
        </w:rPr>
      </w:pPr>
      <w:r w:rsidRPr="007639CB">
        <w:rPr>
          <w:color w:val="000000" w:themeColor="text1"/>
          <w:sz w:val="24"/>
          <w:szCs w:val="24"/>
        </w:rPr>
        <w:t>Characteristics of Dyslexia (CA Dyslexia Guidelines, 2017, p.14 – 23)</w:t>
      </w:r>
    </w:p>
    <w:p w14:paraId="09677BCD" w14:textId="77777777" w:rsidR="007E5B90" w:rsidRPr="007639CB" w:rsidRDefault="007E5B90" w:rsidP="007E5B90">
      <w:pPr>
        <w:spacing w:line="240" w:lineRule="auto"/>
        <w:ind w:left="720"/>
        <w:rPr>
          <w:color w:val="000000" w:themeColor="text1"/>
          <w:sz w:val="24"/>
          <w:szCs w:val="24"/>
        </w:rPr>
      </w:pPr>
      <w:r w:rsidRPr="007639CB">
        <w:rPr>
          <w:color w:val="000000" w:themeColor="text1"/>
          <w:sz w:val="24"/>
          <w:szCs w:val="24"/>
        </w:rPr>
        <w:t>Screening Methods (National Center on Improving Literacy, (CA Dyslexia Guidelines, 2017, p.349-53) (National Center on Improving Literacy: screening for dyslexia, section III, n.d.)</w:t>
      </w:r>
    </w:p>
    <w:p w14:paraId="620515C7" w14:textId="444ABBE1" w:rsidR="007E5B90" w:rsidRPr="007639CB" w:rsidRDefault="007E5B90" w:rsidP="007E5B90">
      <w:pPr>
        <w:spacing w:line="240" w:lineRule="auto"/>
        <w:ind w:left="720"/>
        <w:rPr>
          <w:color w:val="000000" w:themeColor="text1"/>
          <w:sz w:val="24"/>
          <w:szCs w:val="24"/>
        </w:rPr>
      </w:pPr>
      <w:r w:rsidRPr="007639CB">
        <w:rPr>
          <w:color w:val="000000" w:themeColor="text1"/>
          <w:sz w:val="24"/>
          <w:szCs w:val="24"/>
        </w:rPr>
        <w:t xml:space="preserve">Informal assessments - RTI screening, DIBELS, San Diego Quick, </w:t>
      </w:r>
      <w:r w:rsidR="00BE370F" w:rsidRPr="007639CB">
        <w:rPr>
          <w:color w:val="000000" w:themeColor="text1"/>
          <w:sz w:val="24"/>
          <w:szCs w:val="24"/>
        </w:rPr>
        <w:t>FAR phonological Index subtest, Fluency index subtests</w:t>
      </w:r>
      <w:r w:rsidR="007639CB">
        <w:rPr>
          <w:color w:val="000000" w:themeColor="text1"/>
          <w:sz w:val="24"/>
          <w:szCs w:val="24"/>
        </w:rPr>
        <w:t>,</w:t>
      </w:r>
      <w:r w:rsidR="00BE370F" w:rsidRPr="007639CB">
        <w:rPr>
          <w:color w:val="000000" w:themeColor="text1"/>
          <w:sz w:val="24"/>
          <w:szCs w:val="24"/>
        </w:rPr>
        <w:t xml:space="preserve"> and comprehension index </w:t>
      </w:r>
      <w:r w:rsidR="007639CB" w:rsidRPr="007639CB">
        <w:rPr>
          <w:color w:val="000000" w:themeColor="text1"/>
          <w:sz w:val="24"/>
          <w:szCs w:val="24"/>
        </w:rPr>
        <w:t>subtests</w:t>
      </w:r>
      <w:r w:rsidR="00BE370F" w:rsidRPr="007639CB">
        <w:rPr>
          <w:color w:val="000000" w:themeColor="text1"/>
          <w:sz w:val="24"/>
          <w:szCs w:val="24"/>
        </w:rPr>
        <w:t>.</w:t>
      </w:r>
    </w:p>
    <w:p w14:paraId="782156DF" w14:textId="75ADD4C2" w:rsidR="007E5B90" w:rsidRPr="007639CB" w:rsidRDefault="007E5B90" w:rsidP="00BE370F">
      <w:pPr>
        <w:spacing w:line="240" w:lineRule="auto"/>
        <w:ind w:left="720"/>
        <w:rPr>
          <w:color w:val="000000" w:themeColor="text1"/>
          <w:sz w:val="24"/>
          <w:szCs w:val="24"/>
        </w:rPr>
      </w:pPr>
      <w:r w:rsidRPr="007639CB">
        <w:rPr>
          <w:color w:val="000000" w:themeColor="text1"/>
          <w:sz w:val="24"/>
          <w:szCs w:val="24"/>
        </w:rPr>
        <w:t xml:space="preserve">Differential Diagnosis – reading delays, </w:t>
      </w:r>
      <w:r w:rsidR="006477CA" w:rsidRPr="007639CB">
        <w:rPr>
          <w:color w:val="000000" w:themeColor="text1"/>
          <w:sz w:val="24"/>
          <w:szCs w:val="24"/>
        </w:rPr>
        <w:t>disorders,</w:t>
      </w:r>
      <w:r w:rsidRPr="007639CB">
        <w:rPr>
          <w:color w:val="000000" w:themeColor="text1"/>
          <w:sz w:val="24"/>
          <w:szCs w:val="24"/>
        </w:rPr>
        <w:t xml:space="preserve"> and dyslexia</w:t>
      </w:r>
      <w:r w:rsidR="007639CB" w:rsidRPr="007639CB">
        <w:rPr>
          <w:color w:val="000000" w:themeColor="text1"/>
          <w:sz w:val="24"/>
          <w:szCs w:val="24"/>
        </w:rPr>
        <w:t>,</w:t>
      </w:r>
      <w:r w:rsidRPr="007639CB">
        <w:rPr>
          <w:color w:val="000000" w:themeColor="text1"/>
          <w:sz w:val="24"/>
          <w:szCs w:val="24"/>
        </w:rPr>
        <w:t xml:space="preserve"> </w:t>
      </w:r>
      <w:proofErr w:type="spellStart"/>
      <w:r w:rsidR="00BE370F" w:rsidRPr="007639CB">
        <w:rPr>
          <w:rFonts w:cstheme="minorHAnsi"/>
          <w:color w:val="000000" w:themeColor="text1"/>
          <w:sz w:val="24"/>
          <w:szCs w:val="24"/>
          <w:shd w:val="clear" w:color="auto" w:fill="FFFFFF"/>
        </w:rPr>
        <w:t>dysphonetic</w:t>
      </w:r>
      <w:proofErr w:type="spellEnd"/>
      <w:r w:rsidR="00BE370F" w:rsidRPr="007639CB">
        <w:rPr>
          <w:rFonts w:cstheme="minorHAnsi"/>
          <w:color w:val="000000" w:themeColor="text1"/>
          <w:sz w:val="24"/>
          <w:szCs w:val="24"/>
          <w:shd w:val="clear" w:color="auto" w:fill="FFFFFF"/>
        </w:rPr>
        <w:t xml:space="preserve"> dyslexia, surface dyslexia, mixed dyslexia, and reading comprehension deficits.</w:t>
      </w:r>
      <w:r w:rsidR="00BE370F" w:rsidRPr="007639CB">
        <w:rPr>
          <w:rFonts w:ascii="FuturaStdBook" w:hAnsi="FuturaStdBook"/>
          <w:color w:val="000000" w:themeColor="text1"/>
          <w:sz w:val="27"/>
          <w:szCs w:val="27"/>
          <w:shd w:val="clear" w:color="auto" w:fill="FFFFFF"/>
        </w:rPr>
        <w:t> </w:t>
      </w:r>
    </w:p>
    <w:p w14:paraId="320E9236" w14:textId="77777777" w:rsidR="007E5B90" w:rsidRPr="007639CB" w:rsidRDefault="007E5B90" w:rsidP="007E5B90">
      <w:pPr>
        <w:spacing w:line="240" w:lineRule="auto"/>
        <w:rPr>
          <w:b/>
          <w:bCs/>
          <w:color w:val="000000" w:themeColor="text1"/>
          <w:sz w:val="24"/>
          <w:szCs w:val="24"/>
        </w:rPr>
      </w:pPr>
      <w:r w:rsidRPr="007639CB">
        <w:rPr>
          <w:b/>
          <w:bCs/>
          <w:color w:val="000000" w:themeColor="text1"/>
          <w:sz w:val="24"/>
          <w:szCs w:val="24"/>
        </w:rPr>
        <w:t>Session II – Assessment and Eligibility</w:t>
      </w:r>
    </w:p>
    <w:p w14:paraId="740BFC5A" w14:textId="14DBEA9A" w:rsidR="007E5B90" w:rsidRPr="007639CB" w:rsidRDefault="007E5B90" w:rsidP="007E5B90">
      <w:pPr>
        <w:spacing w:line="240" w:lineRule="auto"/>
        <w:ind w:left="720"/>
        <w:rPr>
          <w:color w:val="000000" w:themeColor="text1"/>
          <w:sz w:val="24"/>
          <w:szCs w:val="24"/>
        </w:rPr>
      </w:pPr>
      <w:r w:rsidRPr="007639CB">
        <w:rPr>
          <w:color w:val="000000" w:themeColor="text1"/>
          <w:sz w:val="24"/>
          <w:szCs w:val="24"/>
        </w:rPr>
        <w:t>Formal Assessments (CA Dyslexia Guidelines, 2017, p</w:t>
      </w:r>
      <w:r w:rsidR="007639CB" w:rsidRPr="007639CB">
        <w:rPr>
          <w:color w:val="000000" w:themeColor="text1"/>
          <w:sz w:val="24"/>
          <w:szCs w:val="24"/>
        </w:rPr>
        <w:t>p</w:t>
      </w:r>
      <w:r w:rsidRPr="007639CB">
        <w:rPr>
          <w:color w:val="000000" w:themeColor="text1"/>
          <w:sz w:val="24"/>
          <w:szCs w:val="24"/>
        </w:rPr>
        <w:t xml:space="preserve">. 53-57) (IDA Handbook, </w:t>
      </w:r>
      <w:r w:rsidR="007639CB" w:rsidRPr="007639CB">
        <w:rPr>
          <w:color w:val="000000" w:themeColor="text1"/>
          <w:sz w:val="24"/>
          <w:szCs w:val="24"/>
        </w:rPr>
        <w:t>What Every Family Should K</w:t>
      </w:r>
      <w:r w:rsidRPr="007639CB">
        <w:rPr>
          <w:color w:val="000000" w:themeColor="text1"/>
          <w:sz w:val="24"/>
          <w:szCs w:val="24"/>
        </w:rPr>
        <w:t xml:space="preserve">now, 2019, </w:t>
      </w:r>
      <w:r w:rsidR="007639CB" w:rsidRPr="007639CB">
        <w:rPr>
          <w:color w:val="000000" w:themeColor="text1"/>
          <w:sz w:val="24"/>
          <w:szCs w:val="24"/>
        </w:rPr>
        <w:t xml:space="preserve">pp. </w:t>
      </w:r>
      <w:r w:rsidRPr="007639CB">
        <w:rPr>
          <w:color w:val="000000" w:themeColor="text1"/>
          <w:sz w:val="24"/>
          <w:szCs w:val="24"/>
        </w:rPr>
        <w:t xml:space="preserve">10-12). </w:t>
      </w:r>
    </w:p>
    <w:p w14:paraId="0ADD07A1" w14:textId="77777777" w:rsidR="007E5B90" w:rsidRPr="007639CB" w:rsidRDefault="007E5B90" w:rsidP="007E5B90">
      <w:pPr>
        <w:spacing w:line="240" w:lineRule="auto"/>
        <w:ind w:firstLine="720"/>
        <w:rPr>
          <w:color w:val="000000" w:themeColor="text1"/>
          <w:sz w:val="24"/>
          <w:szCs w:val="24"/>
        </w:rPr>
      </w:pPr>
      <w:r w:rsidRPr="007639CB">
        <w:rPr>
          <w:color w:val="000000" w:themeColor="text1"/>
          <w:sz w:val="24"/>
          <w:szCs w:val="24"/>
        </w:rPr>
        <w:t>Eligibility Criteria – Specific Learning Disability,</w:t>
      </w:r>
    </w:p>
    <w:p w14:paraId="5C7A5393" w14:textId="77777777" w:rsidR="007E5B90" w:rsidRPr="007639CB" w:rsidRDefault="007E5B90" w:rsidP="007E5B90">
      <w:pPr>
        <w:spacing w:line="240" w:lineRule="auto"/>
        <w:ind w:firstLine="720"/>
        <w:rPr>
          <w:color w:val="000000" w:themeColor="text1"/>
          <w:sz w:val="24"/>
          <w:szCs w:val="24"/>
        </w:rPr>
      </w:pPr>
      <w:r w:rsidRPr="007639CB">
        <w:rPr>
          <w:color w:val="000000" w:themeColor="text1"/>
          <w:sz w:val="24"/>
          <w:szCs w:val="24"/>
        </w:rPr>
        <w:t>English Learners and Dyslexia (CA Dyslexia Guidelines, 2017, p.33-37)</w:t>
      </w:r>
    </w:p>
    <w:p w14:paraId="5BE50F0F" w14:textId="646AF109" w:rsidR="007E5B90" w:rsidRPr="007639CB" w:rsidRDefault="007E5B90" w:rsidP="007E5B90">
      <w:pPr>
        <w:spacing w:line="240" w:lineRule="auto"/>
        <w:rPr>
          <w:b/>
          <w:bCs/>
          <w:color w:val="000000" w:themeColor="text1"/>
          <w:sz w:val="24"/>
          <w:szCs w:val="24"/>
        </w:rPr>
      </w:pPr>
      <w:r w:rsidRPr="007639CB">
        <w:rPr>
          <w:b/>
          <w:bCs/>
          <w:color w:val="000000" w:themeColor="text1"/>
          <w:sz w:val="24"/>
          <w:szCs w:val="24"/>
        </w:rPr>
        <w:t xml:space="preserve">Session III – </w:t>
      </w:r>
      <w:r w:rsidR="007639CB" w:rsidRPr="007639CB">
        <w:rPr>
          <w:b/>
          <w:bCs/>
          <w:color w:val="000000" w:themeColor="text1"/>
          <w:sz w:val="24"/>
          <w:szCs w:val="24"/>
        </w:rPr>
        <w:t>multi-sensory</w:t>
      </w:r>
      <w:r w:rsidRPr="007639CB">
        <w:rPr>
          <w:b/>
          <w:bCs/>
          <w:color w:val="000000" w:themeColor="text1"/>
          <w:sz w:val="24"/>
          <w:szCs w:val="24"/>
        </w:rPr>
        <w:t xml:space="preserve"> instructional strategies – Knowledge, skills aptitudes -</w:t>
      </w:r>
    </w:p>
    <w:p w14:paraId="7D7F986C" w14:textId="77777777" w:rsidR="007E5B90" w:rsidRPr="007639CB" w:rsidRDefault="007E5B90" w:rsidP="007E5B90">
      <w:pPr>
        <w:spacing w:line="240" w:lineRule="auto"/>
        <w:rPr>
          <w:color w:val="000000" w:themeColor="text1"/>
          <w:sz w:val="24"/>
          <w:szCs w:val="24"/>
        </w:rPr>
      </w:pPr>
      <w:r w:rsidRPr="007639CB">
        <w:rPr>
          <w:color w:val="000000" w:themeColor="text1"/>
          <w:sz w:val="24"/>
          <w:szCs w:val="24"/>
        </w:rPr>
        <w:tab/>
        <w:t xml:space="preserve">Science of Reading </w:t>
      </w:r>
    </w:p>
    <w:p w14:paraId="23076F9B" w14:textId="77777777" w:rsidR="007E5B90" w:rsidRPr="007639CB" w:rsidRDefault="007E5B90" w:rsidP="007E5B90">
      <w:pPr>
        <w:spacing w:line="240" w:lineRule="auto"/>
        <w:rPr>
          <w:color w:val="000000" w:themeColor="text1"/>
          <w:sz w:val="24"/>
          <w:szCs w:val="24"/>
        </w:rPr>
      </w:pPr>
      <w:r w:rsidRPr="007639CB">
        <w:rPr>
          <w:color w:val="000000" w:themeColor="text1"/>
          <w:sz w:val="24"/>
          <w:szCs w:val="24"/>
        </w:rPr>
        <w:tab/>
        <w:t>Defining multisensory instruction (CA Dyslexia Guidelines, 2017, p. 65 – 78)</w:t>
      </w:r>
    </w:p>
    <w:p w14:paraId="6F515743" w14:textId="3A496962" w:rsidR="007E5B90" w:rsidRPr="007639CB" w:rsidRDefault="007E5B90" w:rsidP="007E5B90">
      <w:pPr>
        <w:spacing w:line="240" w:lineRule="auto"/>
        <w:ind w:firstLine="720"/>
        <w:rPr>
          <w:color w:val="000000" w:themeColor="text1"/>
          <w:sz w:val="24"/>
          <w:szCs w:val="24"/>
        </w:rPr>
      </w:pPr>
      <w:r w:rsidRPr="007639CB">
        <w:rPr>
          <w:color w:val="000000" w:themeColor="text1"/>
          <w:sz w:val="24"/>
          <w:szCs w:val="24"/>
        </w:rPr>
        <w:t xml:space="preserve">Comparison of </w:t>
      </w:r>
      <w:r w:rsidR="0021740D" w:rsidRPr="007639CB">
        <w:rPr>
          <w:color w:val="000000" w:themeColor="text1"/>
          <w:sz w:val="24"/>
          <w:szCs w:val="24"/>
        </w:rPr>
        <w:t>evidence-based</w:t>
      </w:r>
      <w:r w:rsidRPr="007639CB">
        <w:rPr>
          <w:color w:val="000000" w:themeColor="text1"/>
          <w:sz w:val="24"/>
          <w:szCs w:val="24"/>
        </w:rPr>
        <w:t xml:space="preserve"> training program and instructional </w:t>
      </w:r>
      <w:r w:rsidR="0021740D" w:rsidRPr="007639CB">
        <w:rPr>
          <w:color w:val="000000" w:themeColor="text1"/>
          <w:sz w:val="24"/>
          <w:szCs w:val="24"/>
        </w:rPr>
        <w:t xml:space="preserve">curriculum </w:t>
      </w:r>
      <w:r w:rsidRPr="007639CB">
        <w:rPr>
          <w:color w:val="000000" w:themeColor="text1"/>
        </w:rPr>
        <w:tab/>
      </w:r>
      <w:r w:rsidR="0021740D" w:rsidRPr="007639CB">
        <w:rPr>
          <w:color w:val="000000" w:themeColor="text1"/>
          <w:sz w:val="24"/>
          <w:szCs w:val="24"/>
        </w:rPr>
        <w:t>(C</w:t>
      </w:r>
      <w:r w:rsidRPr="007639CB">
        <w:rPr>
          <w:color w:val="000000" w:themeColor="text1"/>
          <w:sz w:val="24"/>
          <w:szCs w:val="24"/>
        </w:rPr>
        <w:t>EC,2019)</w:t>
      </w:r>
    </w:p>
    <w:p w14:paraId="1E8D89E5" w14:textId="3FE0AE78" w:rsidR="007E5B90" w:rsidRPr="007639CB" w:rsidRDefault="007E5B90" w:rsidP="7158C77F">
      <w:pPr>
        <w:spacing w:line="240" w:lineRule="auto"/>
        <w:ind w:left="720"/>
        <w:rPr>
          <w:color w:val="000000" w:themeColor="text1"/>
          <w:sz w:val="24"/>
          <w:szCs w:val="24"/>
        </w:rPr>
      </w:pPr>
      <w:r w:rsidRPr="007639CB">
        <w:rPr>
          <w:color w:val="000000" w:themeColor="text1"/>
          <w:sz w:val="24"/>
          <w:szCs w:val="24"/>
        </w:rPr>
        <w:t>Orton Gillingham- explicit, systematic and phonics based (</w:t>
      </w:r>
      <w:proofErr w:type="spellStart"/>
      <w:r w:rsidRPr="007639CB">
        <w:rPr>
          <w:color w:val="000000" w:themeColor="text1"/>
          <w:sz w:val="24"/>
          <w:szCs w:val="24"/>
        </w:rPr>
        <w:t>Kayeski</w:t>
      </w:r>
      <w:proofErr w:type="spellEnd"/>
      <w:r w:rsidRPr="007639CB">
        <w:rPr>
          <w:color w:val="000000" w:themeColor="text1"/>
          <w:sz w:val="24"/>
          <w:szCs w:val="24"/>
        </w:rPr>
        <w:t>, Earle, Davis, &amp; Calamari, CEC, 2019)</w:t>
      </w:r>
    </w:p>
    <w:p w14:paraId="29921639" w14:textId="076587C3" w:rsidR="0021740D" w:rsidRPr="007639CB" w:rsidRDefault="0021740D" w:rsidP="0021740D">
      <w:pPr>
        <w:spacing w:line="240" w:lineRule="auto"/>
        <w:ind w:left="720"/>
        <w:rPr>
          <w:color w:val="000000" w:themeColor="text1"/>
          <w:sz w:val="24"/>
          <w:szCs w:val="24"/>
        </w:rPr>
      </w:pPr>
      <w:r w:rsidRPr="007639CB">
        <w:rPr>
          <w:color w:val="000000" w:themeColor="text1"/>
          <w:sz w:val="24"/>
          <w:szCs w:val="24"/>
        </w:rPr>
        <w:lastRenderedPageBreak/>
        <w:t xml:space="preserve">Structured Literacy Instruction: multimodal, direct, explicit, structured, </w:t>
      </w:r>
      <w:r w:rsidR="006477CA" w:rsidRPr="007639CB">
        <w:rPr>
          <w:color w:val="000000" w:themeColor="text1"/>
          <w:sz w:val="24"/>
          <w:szCs w:val="24"/>
        </w:rPr>
        <w:t>sequential,</w:t>
      </w:r>
      <w:r w:rsidRPr="007639CB">
        <w:rPr>
          <w:color w:val="000000" w:themeColor="text1"/>
          <w:sz w:val="24"/>
          <w:szCs w:val="24"/>
        </w:rPr>
        <w:t xml:space="preserve"> and cumulative (CTC, n.d. Knowledge, skills and abilities need to teach ELA/Literacy and ELD Appendix C)</w:t>
      </w:r>
    </w:p>
    <w:p w14:paraId="75D4F5E8" w14:textId="24F6651D" w:rsidR="0021740D" w:rsidRPr="007639CB" w:rsidRDefault="0021740D" w:rsidP="0021740D">
      <w:pPr>
        <w:spacing w:line="240" w:lineRule="auto"/>
        <w:ind w:left="720"/>
        <w:rPr>
          <w:color w:val="000000" w:themeColor="text1"/>
          <w:sz w:val="24"/>
          <w:szCs w:val="24"/>
        </w:rPr>
      </w:pPr>
      <w:r w:rsidRPr="007639CB">
        <w:rPr>
          <w:color w:val="000000" w:themeColor="text1"/>
          <w:sz w:val="24"/>
          <w:szCs w:val="24"/>
        </w:rPr>
        <w:tab/>
        <w:t>Phonology</w:t>
      </w:r>
    </w:p>
    <w:p w14:paraId="1B91D9F0" w14:textId="2884684A" w:rsidR="0021740D" w:rsidRPr="007639CB" w:rsidRDefault="0021740D" w:rsidP="0021740D">
      <w:pPr>
        <w:spacing w:line="240" w:lineRule="auto"/>
        <w:ind w:left="720"/>
        <w:rPr>
          <w:color w:val="000000" w:themeColor="text1"/>
          <w:sz w:val="24"/>
          <w:szCs w:val="24"/>
        </w:rPr>
      </w:pPr>
      <w:r w:rsidRPr="007639CB">
        <w:rPr>
          <w:color w:val="000000" w:themeColor="text1"/>
          <w:sz w:val="24"/>
          <w:szCs w:val="24"/>
        </w:rPr>
        <w:tab/>
        <w:t>Orthograph</w:t>
      </w:r>
    </w:p>
    <w:p w14:paraId="1502E4C9" w14:textId="200E2A75" w:rsidR="0021740D" w:rsidRPr="007639CB" w:rsidRDefault="0021740D" w:rsidP="0021740D">
      <w:pPr>
        <w:spacing w:line="240" w:lineRule="auto"/>
        <w:ind w:left="720"/>
        <w:rPr>
          <w:color w:val="000000" w:themeColor="text1"/>
          <w:sz w:val="24"/>
          <w:szCs w:val="24"/>
        </w:rPr>
      </w:pPr>
      <w:r w:rsidRPr="007639CB">
        <w:rPr>
          <w:color w:val="000000" w:themeColor="text1"/>
          <w:sz w:val="24"/>
          <w:szCs w:val="24"/>
        </w:rPr>
        <w:tab/>
        <w:t>Phonics</w:t>
      </w:r>
    </w:p>
    <w:p w14:paraId="5A7F9342" w14:textId="23F04F87" w:rsidR="0021740D" w:rsidRPr="007639CB" w:rsidRDefault="0021740D" w:rsidP="0021740D">
      <w:pPr>
        <w:spacing w:line="240" w:lineRule="auto"/>
        <w:ind w:left="720"/>
        <w:rPr>
          <w:color w:val="000000" w:themeColor="text1"/>
          <w:sz w:val="24"/>
          <w:szCs w:val="24"/>
        </w:rPr>
      </w:pPr>
      <w:r w:rsidRPr="007639CB">
        <w:rPr>
          <w:color w:val="000000" w:themeColor="text1"/>
          <w:sz w:val="24"/>
          <w:szCs w:val="24"/>
        </w:rPr>
        <w:tab/>
        <w:t>Syllables</w:t>
      </w:r>
    </w:p>
    <w:p w14:paraId="5527C615" w14:textId="2D7AAAA7" w:rsidR="0021740D" w:rsidRPr="007639CB" w:rsidRDefault="0021740D" w:rsidP="0021740D">
      <w:pPr>
        <w:spacing w:line="240" w:lineRule="auto"/>
        <w:ind w:left="720"/>
        <w:rPr>
          <w:color w:val="000000" w:themeColor="text1"/>
          <w:sz w:val="24"/>
          <w:szCs w:val="24"/>
        </w:rPr>
      </w:pPr>
      <w:r w:rsidRPr="007639CB">
        <w:rPr>
          <w:color w:val="000000" w:themeColor="text1"/>
          <w:sz w:val="24"/>
          <w:szCs w:val="24"/>
        </w:rPr>
        <w:tab/>
        <w:t>Morphology</w:t>
      </w:r>
    </w:p>
    <w:p w14:paraId="55F19B50" w14:textId="31EEF7B8" w:rsidR="0021740D" w:rsidRPr="007639CB" w:rsidRDefault="0021740D" w:rsidP="0021740D">
      <w:pPr>
        <w:spacing w:line="240" w:lineRule="auto"/>
        <w:ind w:left="720"/>
        <w:rPr>
          <w:color w:val="000000" w:themeColor="text1"/>
          <w:sz w:val="24"/>
          <w:szCs w:val="24"/>
        </w:rPr>
      </w:pPr>
      <w:r w:rsidRPr="007639CB">
        <w:rPr>
          <w:color w:val="000000" w:themeColor="text1"/>
          <w:sz w:val="24"/>
          <w:szCs w:val="24"/>
        </w:rPr>
        <w:tab/>
        <w:t>Syntax</w:t>
      </w:r>
    </w:p>
    <w:p w14:paraId="37A21780" w14:textId="2827662B" w:rsidR="0021740D" w:rsidRPr="007639CB" w:rsidRDefault="0021740D" w:rsidP="0021740D">
      <w:pPr>
        <w:spacing w:line="240" w:lineRule="auto"/>
        <w:ind w:left="720"/>
        <w:rPr>
          <w:color w:val="000000" w:themeColor="text1"/>
          <w:sz w:val="24"/>
          <w:szCs w:val="24"/>
        </w:rPr>
      </w:pPr>
      <w:r w:rsidRPr="007639CB">
        <w:rPr>
          <w:color w:val="000000" w:themeColor="text1"/>
          <w:sz w:val="24"/>
          <w:szCs w:val="24"/>
        </w:rPr>
        <w:tab/>
        <w:t>Semantics</w:t>
      </w:r>
    </w:p>
    <w:p w14:paraId="36EFE70A" w14:textId="7CE7DC39" w:rsidR="007E5B90" w:rsidRPr="007639CB" w:rsidRDefault="007E5B90" w:rsidP="007E5B90">
      <w:pPr>
        <w:spacing w:line="240" w:lineRule="auto"/>
        <w:ind w:left="720"/>
        <w:rPr>
          <w:color w:val="000000" w:themeColor="text1"/>
          <w:sz w:val="24"/>
          <w:szCs w:val="24"/>
        </w:rPr>
      </w:pPr>
      <w:r w:rsidRPr="007639CB">
        <w:rPr>
          <w:color w:val="000000" w:themeColor="text1"/>
          <w:sz w:val="24"/>
          <w:szCs w:val="24"/>
        </w:rPr>
        <w:t xml:space="preserve">Introduction of International Dyslexia Standards and sub standards (IDA, </w:t>
      </w:r>
      <w:r w:rsidR="006477CA" w:rsidRPr="007639CB">
        <w:rPr>
          <w:color w:val="000000" w:themeColor="text1"/>
          <w:sz w:val="24"/>
          <w:szCs w:val="24"/>
        </w:rPr>
        <w:t>Knowledge,</w:t>
      </w:r>
      <w:r w:rsidRPr="007639CB">
        <w:rPr>
          <w:color w:val="000000" w:themeColor="text1"/>
          <w:sz w:val="24"/>
          <w:szCs w:val="24"/>
        </w:rPr>
        <w:t xml:space="preserve"> and Practice Standards for Teachers of Reading, 2018)</w:t>
      </w:r>
    </w:p>
    <w:p w14:paraId="2C7F4419" w14:textId="77777777" w:rsidR="007E5B90" w:rsidRPr="007639CB" w:rsidRDefault="007E5B90" w:rsidP="007E5B90">
      <w:pPr>
        <w:spacing w:line="240" w:lineRule="auto"/>
        <w:rPr>
          <w:color w:val="000000" w:themeColor="text1"/>
          <w:sz w:val="24"/>
          <w:szCs w:val="24"/>
        </w:rPr>
      </w:pPr>
      <w:r w:rsidRPr="007639CB">
        <w:rPr>
          <w:color w:val="000000" w:themeColor="text1"/>
          <w:sz w:val="24"/>
          <w:szCs w:val="24"/>
        </w:rPr>
        <w:tab/>
      </w:r>
      <w:r w:rsidRPr="007639CB">
        <w:rPr>
          <w:color w:val="000000" w:themeColor="text1"/>
          <w:sz w:val="24"/>
          <w:szCs w:val="24"/>
        </w:rPr>
        <w:tab/>
        <w:t>Standard 1 – Foundations of Literacy Acquisition</w:t>
      </w:r>
    </w:p>
    <w:p w14:paraId="29644847" w14:textId="77777777" w:rsidR="007E5B90" w:rsidRPr="007639CB" w:rsidRDefault="007E5B90" w:rsidP="007E5B90">
      <w:pPr>
        <w:spacing w:line="240" w:lineRule="auto"/>
        <w:rPr>
          <w:color w:val="000000" w:themeColor="text1"/>
          <w:sz w:val="24"/>
          <w:szCs w:val="24"/>
        </w:rPr>
      </w:pPr>
      <w:r w:rsidRPr="007639CB">
        <w:rPr>
          <w:color w:val="000000" w:themeColor="text1"/>
          <w:sz w:val="24"/>
          <w:szCs w:val="24"/>
        </w:rPr>
        <w:tab/>
      </w:r>
      <w:r w:rsidRPr="007639CB">
        <w:rPr>
          <w:color w:val="000000" w:themeColor="text1"/>
          <w:sz w:val="24"/>
          <w:szCs w:val="24"/>
        </w:rPr>
        <w:tab/>
        <w:t>Standard 2 – Knowledge of Diverse Reading Profiles, including dyslexia</w:t>
      </w:r>
    </w:p>
    <w:p w14:paraId="0735936E" w14:textId="77777777" w:rsidR="007E5B90" w:rsidRPr="007639CB" w:rsidRDefault="007E5B90" w:rsidP="007E5B90">
      <w:pPr>
        <w:spacing w:line="240" w:lineRule="auto"/>
        <w:rPr>
          <w:color w:val="000000" w:themeColor="text1"/>
          <w:sz w:val="24"/>
          <w:szCs w:val="24"/>
        </w:rPr>
      </w:pPr>
      <w:r w:rsidRPr="007639CB">
        <w:rPr>
          <w:color w:val="000000" w:themeColor="text1"/>
          <w:sz w:val="24"/>
          <w:szCs w:val="24"/>
        </w:rPr>
        <w:tab/>
      </w:r>
      <w:r w:rsidRPr="007639CB">
        <w:rPr>
          <w:color w:val="000000" w:themeColor="text1"/>
          <w:sz w:val="24"/>
          <w:szCs w:val="24"/>
        </w:rPr>
        <w:tab/>
        <w:t>Standard 3 – Assessment</w:t>
      </w:r>
    </w:p>
    <w:p w14:paraId="2D6588F3" w14:textId="77777777" w:rsidR="007E5B90" w:rsidRPr="007639CB" w:rsidRDefault="007E5B90" w:rsidP="007E5B90">
      <w:pPr>
        <w:spacing w:line="240" w:lineRule="auto"/>
        <w:rPr>
          <w:color w:val="000000" w:themeColor="text1"/>
          <w:sz w:val="24"/>
          <w:szCs w:val="24"/>
        </w:rPr>
      </w:pPr>
      <w:r w:rsidRPr="007639CB">
        <w:rPr>
          <w:color w:val="000000" w:themeColor="text1"/>
          <w:sz w:val="24"/>
          <w:szCs w:val="24"/>
        </w:rPr>
        <w:tab/>
      </w:r>
      <w:r w:rsidRPr="007639CB">
        <w:rPr>
          <w:color w:val="000000" w:themeColor="text1"/>
          <w:sz w:val="24"/>
          <w:szCs w:val="24"/>
        </w:rPr>
        <w:tab/>
        <w:t xml:space="preserve">Standard 4 – Structured Literacy Instruction - add sections decoding </w:t>
      </w:r>
    </w:p>
    <w:p w14:paraId="2B43AFA4" w14:textId="77777777" w:rsidR="007E5B90" w:rsidRPr="007639CB" w:rsidRDefault="007E5B90" w:rsidP="007E5B90">
      <w:pPr>
        <w:pStyle w:val="ListParagraph"/>
        <w:numPr>
          <w:ilvl w:val="0"/>
          <w:numId w:val="3"/>
        </w:numPr>
        <w:spacing w:line="240" w:lineRule="auto"/>
        <w:rPr>
          <w:color w:val="000000" w:themeColor="text1"/>
          <w:sz w:val="24"/>
          <w:szCs w:val="24"/>
        </w:rPr>
      </w:pPr>
      <w:r w:rsidRPr="007639CB">
        <w:rPr>
          <w:color w:val="000000" w:themeColor="text1"/>
          <w:sz w:val="24"/>
          <w:szCs w:val="24"/>
        </w:rPr>
        <w:t>Essential Principles and practice of structured literacy instruction</w:t>
      </w:r>
    </w:p>
    <w:p w14:paraId="5EB5E67E" w14:textId="77777777" w:rsidR="007E5B90" w:rsidRPr="007639CB" w:rsidRDefault="007E5B90" w:rsidP="007E5B90">
      <w:pPr>
        <w:pStyle w:val="ListParagraph"/>
        <w:numPr>
          <w:ilvl w:val="0"/>
          <w:numId w:val="3"/>
        </w:numPr>
        <w:spacing w:line="240" w:lineRule="auto"/>
        <w:rPr>
          <w:color w:val="000000" w:themeColor="text1"/>
          <w:sz w:val="24"/>
          <w:szCs w:val="24"/>
        </w:rPr>
      </w:pPr>
      <w:r w:rsidRPr="007639CB">
        <w:rPr>
          <w:color w:val="000000" w:themeColor="text1"/>
          <w:sz w:val="24"/>
          <w:szCs w:val="24"/>
        </w:rPr>
        <w:t>Phonological and phonemic awareness</w:t>
      </w:r>
    </w:p>
    <w:p w14:paraId="0358474B" w14:textId="77777777" w:rsidR="007E5B90" w:rsidRPr="007639CB" w:rsidRDefault="007E5B90" w:rsidP="007E5B90">
      <w:pPr>
        <w:pStyle w:val="ListParagraph"/>
        <w:numPr>
          <w:ilvl w:val="0"/>
          <w:numId w:val="3"/>
        </w:numPr>
        <w:spacing w:line="240" w:lineRule="auto"/>
        <w:rPr>
          <w:color w:val="000000" w:themeColor="text1"/>
          <w:sz w:val="24"/>
          <w:szCs w:val="24"/>
        </w:rPr>
      </w:pPr>
      <w:r w:rsidRPr="007639CB">
        <w:rPr>
          <w:color w:val="000000" w:themeColor="text1"/>
          <w:sz w:val="24"/>
          <w:szCs w:val="24"/>
        </w:rPr>
        <w:t>Phonics and word recognition</w:t>
      </w:r>
    </w:p>
    <w:p w14:paraId="6CB3C1B7" w14:textId="77777777" w:rsidR="007E5B90" w:rsidRPr="007639CB" w:rsidRDefault="007E5B90" w:rsidP="007E5B90">
      <w:pPr>
        <w:pStyle w:val="ListParagraph"/>
        <w:numPr>
          <w:ilvl w:val="0"/>
          <w:numId w:val="3"/>
        </w:numPr>
        <w:spacing w:line="240" w:lineRule="auto"/>
        <w:rPr>
          <w:color w:val="000000" w:themeColor="text1"/>
          <w:sz w:val="24"/>
          <w:szCs w:val="24"/>
        </w:rPr>
      </w:pPr>
      <w:r w:rsidRPr="007639CB">
        <w:rPr>
          <w:color w:val="000000" w:themeColor="text1"/>
          <w:sz w:val="24"/>
          <w:szCs w:val="24"/>
        </w:rPr>
        <w:t>Automatic, fluency reading of text</w:t>
      </w:r>
    </w:p>
    <w:p w14:paraId="471B6F88" w14:textId="77777777" w:rsidR="007E5B90" w:rsidRPr="007639CB" w:rsidRDefault="007E5B90" w:rsidP="007E5B90">
      <w:pPr>
        <w:pStyle w:val="ListParagraph"/>
        <w:numPr>
          <w:ilvl w:val="0"/>
          <w:numId w:val="3"/>
        </w:numPr>
        <w:spacing w:line="240" w:lineRule="auto"/>
        <w:rPr>
          <w:color w:val="000000" w:themeColor="text1"/>
          <w:sz w:val="24"/>
          <w:szCs w:val="24"/>
        </w:rPr>
      </w:pPr>
      <w:r w:rsidRPr="007639CB">
        <w:rPr>
          <w:color w:val="000000" w:themeColor="text1"/>
          <w:sz w:val="24"/>
          <w:szCs w:val="24"/>
        </w:rPr>
        <w:t>Vocabulary</w:t>
      </w:r>
    </w:p>
    <w:p w14:paraId="02929D89" w14:textId="77777777" w:rsidR="007E5B90" w:rsidRPr="007639CB" w:rsidRDefault="007E5B90" w:rsidP="007E5B90">
      <w:pPr>
        <w:spacing w:line="240" w:lineRule="auto"/>
        <w:ind w:left="720" w:firstLine="720"/>
        <w:rPr>
          <w:color w:val="000000" w:themeColor="text1"/>
          <w:sz w:val="24"/>
          <w:szCs w:val="24"/>
        </w:rPr>
      </w:pPr>
      <w:r w:rsidRPr="007639CB">
        <w:rPr>
          <w:color w:val="000000" w:themeColor="text1"/>
          <w:sz w:val="24"/>
          <w:szCs w:val="24"/>
        </w:rPr>
        <w:t>Instructional organization – individualize and small groups</w:t>
      </w:r>
    </w:p>
    <w:p w14:paraId="4DB23E2D" w14:textId="77777777" w:rsidR="007E5B90" w:rsidRPr="007639CB" w:rsidRDefault="007E5B90" w:rsidP="007E5B90">
      <w:pPr>
        <w:spacing w:line="240" w:lineRule="auto"/>
        <w:ind w:left="720" w:firstLine="720"/>
        <w:rPr>
          <w:color w:val="000000" w:themeColor="text1"/>
          <w:sz w:val="24"/>
          <w:szCs w:val="24"/>
        </w:rPr>
      </w:pPr>
      <w:r w:rsidRPr="007639CB">
        <w:rPr>
          <w:color w:val="000000" w:themeColor="text1"/>
          <w:sz w:val="24"/>
          <w:szCs w:val="24"/>
        </w:rPr>
        <w:t>Evidence Based Programs</w:t>
      </w:r>
      <w:r w:rsidRPr="007639CB">
        <w:rPr>
          <w:color w:val="000000" w:themeColor="text1"/>
          <w:sz w:val="24"/>
          <w:szCs w:val="24"/>
        </w:rPr>
        <w:tab/>
      </w:r>
    </w:p>
    <w:p w14:paraId="4A082109" w14:textId="77777777" w:rsidR="007E5B90" w:rsidRPr="007639CB" w:rsidRDefault="007E5B90" w:rsidP="007E5B90">
      <w:pPr>
        <w:spacing w:line="240" w:lineRule="auto"/>
        <w:rPr>
          <w:b/>
          <w:bCs/>
          <w:color w:val="000000" w:themeColor="text1"/>
          <w:sz w:val="24"/>
          <w:szCs w:val="24"/>
        </w:rPr>
      </w:pPr>
      <w:r w:rsidRPr="007639CB">
        <w:rPr>
          <w:b/>
          <w:bCs/>
          <w:color w:val="000000" w:themeColor="text1"/>
          <w:sz w:val="24"/>
          <w:szCs w:val="24"/>
        </w:rPr>
        <w:t xml:space="preserve">Session IV – Assistive technologies and parental supports </w:t>
      </w:r>
    </w:p>
    <w:p w14:paraId="34E83B33" w14:textId="77777777" w:rsidR="007E5B90" w:rsidRPr="007639CB" w:rsidRDefault="007E5B90" w:rsidP="007E5B90">
      <w:pPr>
        <w:spacing w:line="240" w:lineRule="auto"/>
        <w:ind w:left="720" w:firstLine="720"/>
        <w:rPr>
          <w:color w:val="000000" w:themeColor="text1"/>
          <w:sz w:val="24"/>
          <w:szCs w:val="24"/>
        </w:rPr>
      </w:pPr>
      <w:r w:rsidRPr="007639CB">
        <w:rPr>
          <w:color w:val="000000" w:themeColor="text1"/>
          <w:sz w:val="24"/>
          <w:szCs w:val="24"/>
        </w:rPr>
        <w:t xml:space="preserve">Progress Monitoring – DIBELS, tracking, criterion referenced </w:t>
      </w:r>
    </w:p>
    <w:p w14:paraId="4C33E0B4" w14:textId="77777777" w:rsidR="007E5B90" w:rsidRPr="007639CB" w:rsidRDefault="007E5B90" w:rsidP="007E5B90">
      <w:pPr>
        <w:spacing w:line="240" w:lineRule="auto"/>
        <w:ind w:left="720" w:firstLine="720"/>
        <w:rPr>
          <w:color w:val="000000" w:themeColor="text1"/>
          <w:sz w:val="24"/>
          <w:szCs w:val="24"/>
        </w:rPr>
      </w:pPr>
      <w:r w:rsidRPr="007639CB">
        <w:rPr>
          <w:color w:val="000000" w:themeColor="text1"/>
          <w:sz w:val="24"/>
          <w:szCs w:val="24"/>
        </w:rPr>
        <w:t>Assistive Technologies (CA Dyslexia Guidelines, 2017, p.375-79)</w:t>
      </w:r>
    </w:p>
    <w:p w14:paraId="7D4036AC" w14:textId="77777777" w:rsidR="007E5B90" w:rsidRPr="007639CB" w:rsidRDefault="007E5B90" w:rsidP="007E5B90">
      <w:pPr>
        <w:spacing w:line="240" w:lineRule="auto"/>
        <w:rPr>
          <w:b/>
          <w:bCs/>
          <w:color w:val="000000" w:themeColor="text1"/>
          <w:sz w:val="24"/>
          <w:szCs w:val="24"/>
        </w:rPr>
      </w:pPr>
      <w:r w:rsidRPr="007639CB">
        <w:rPr>
          <w:b/>
          <w:bCs/>
          <w:color w:val="000000" w:themeColor="text1"/>
          <w:sz w:val="24"/>
          <w:szCs w:val="24"/>
        </w:rPr>
        <w:t>References</w:t>
      </w:r>
    </w:p>
    <w:p w14:paraId="237E6A29" w14:textId="55D6901D" w:rsidR="007E5B90" w:rsidRPr="007639CB" w:rsidRDefault="007E5B90" w:rsidP="007E5B90">
      <w:pPr>
        <w:spacing w:line="240" w:lineRule="auto"/>
        <w:ind w:firstLine="720"/>
        <w:rPr>
          <w:color w:val="000000" w:themeColor="text1"/>
          <w:sz w:val="24"/>
          <w:szCs w:val="24"/>
        </w:rPr>
      </w:pPr>
      <w:r w:rsidRPr="007639CB">
        <w:rPr>
          <w:color w:val="000000" w:themeColor="text1"/>
          <w:sz w:val="24"/>
          <w:szCs w:val="24"/>
        </w:rPr>
        <w:t>California Dyslexia Guidelines</w:t>
      </w:r>
    </w:p>
    <w:p w14:paraId="6E4FBAC7" w14:textId="75E78AA1" w:rsidR="00A80C09" w:rsidRPr="007639CB" w:rsidRDefault="007E5B90" w:rsidP="006A08C3">
      <w:pPr>
        <w:spacing w:line="240" w:lineRule="auto"/>
        <w:ind w:firstLine="720"/>
        <w:rPr>
          <w:color w:val="000000" w:themeColor="text1"/>
          <w:sz w:val="24"/>
          <w:szCs w:val="24"/>
        </w:rPr>
      </w:pPr>
      <w:r w:rsidRPr="007639CB">
        <w:rPr>
          <w:color w:val="000000" w:themeColor="text1"/>
          <w:sz w:val="24"/>
          <w:szCs w:val="24"/>
        </w:rPr>
        <w:t>International Dyslexia Association</w:t>
      </w:r>
    </w:p>
    <w:p w14:paraId="40E82588" w14:textId="24F4A0A2" w:rsidR="00E71CF1" w:rsidRPr="007639CB" w:rsidRDefault="00E71CF1" w:rsidP="0080502E">
      <w:pPr>
        <w:pStyle w:val="ListParagraph"/>
        <w:rPr>
          <w:rFonts w:cstheme="minorHAnsi"/>
          <w:color w:val="000000" w:themeColor="text1"/>
          <w:sz w:val="24"/>
          <w:szCs w:val="24"/>
        </w:rPr>
      </w:pPr>
    </w:p>
    <w:p w14:paraId="57C3329A" w14:textId="5ED91972" w:rsidR="00E71CF1" w:rsidRPr="007639CB" w:rsidRDefault="00E71CF1" w:rsidP="00E71CF1">
      <w:pPr>
        <w:pStyle w:val="ListParagraph"/>
        <w:numPr>
          <w:ilvl w:val="0"/>
          <w:numId w:val="1"/>
        </w:numPr>
        <w:rPr>
          <w:rFonts w:cstheme="minorHAnsi"/>
          <w:b/>
          <w:bCs/>
          <w:color w:val="000000" w:themeColor="text1"/>
          <w:sz w:val="24"/>
          <w:szCs w:val="24"/>
        </w:rPr>
      </w:pPr>
      <w:r w:rsidRPr="007639CB">
        <w:rPr>
          <w:b/>
          <w:bCs/>
          <w:color w:val="000000" w:themeColor="text1"/>
          <w:sz w:val="24"/>
          <w:szCs w:val="24"/>
        </w:rPr>
        <w:t xml:space="preserve">Timeline </w:t>
      </w:r>
    </w:p>
    <w:tbl>
      <w:tblPr>
        <w:tblStyle w:val="TableGrid"/>
        <w:tblW w:w="0" w:type="auto"/>
        <w:tblLook w:val="04A0" w:firstRow="1" w:lastRow="0" w:firstColumn="1" w:lastColumn="0" w:noHBand="0" w:noVBand="1"/>
      </w:tblPr>
      <w:tblGrid>
        <w:gridCol w:w="1883"/>
        <w:gridCol w:w="7467"/>
      </w:tblGrid>
      <w:tr w:rsidR="007639CB" w:rsidRPr="007639CB" w14:paraId="386F4AD5" w14:textId="77777777" w:rsidTr="00DC4101">
        <w:tc>
          <w:tcPr>
            <w:tcW w:w="0" w:type="auto"/>
          </w:tcPr>
          <w:p w14:paraId="247910F2" w14:textId="77777777" w:rsidR="006A08C3" w:rsidRPr="007639CB" w:rsidRDefault="006A08C3" w:rsidP="006A08C3">
            <w:pPr>
              <w:rPr>
                <w:color w:val="000000" w:themeColor="text1"/>
                <w:sz w:val="24"/>
                <w:szCs w:val="24"/>
              </w:rPr>
            </w:pPr>
            <w:r w:rsidRPr="007639CB">
              <w:rPr>
                <w:color w:val="000000" w:themeColor="text1"/>
                <w:sz w:val="24"/>
                <w:szCs w:val="24"/>
              </w:rPr>
              <w:t>Date</w:t>
            </w:r>
          </w:p>
        </w:tc>
        <w:tc>
          <w:tcPr>
            <w:tcW w:w="0" w:type="auto"/>
          </w:tcPr>
          <w:p w14:paraId="538BE223" w14:textId="77777777" w:rsidR="006A08C3" w:rsidRPr="007639CB" w:rsidRDefault="006A08C3" w:rsidP="00DC4101">
            <w:pPr>
              <w:rPr>
                <w:color w:val="000000" w:themeColor="text1"/>
                <w:sz w:val="24"/>
                <w:szCs w:val="24"/>
              </w:rPr>
            </w:pPr>
            <w:r w:rsidRPr="007639CB">
              <w:rPr>
                <w:color w:val="000000" w:themeColor="text1"/>
                <w:sz w:val="24"/>
                <w:szCs w:val="24"/>
              </w:rPr>
              <w:t>Event</w:t>
            </w:r>
          </w:p>
        </w:tc>
      </w:tr>
      <w:tr w:rsidR="007639CB" w:rsidRPr="007639CB" w14:paraId="4F77AA12" w14:textId="77777777" w:rsidTr="00DC4101">
        <w:tc>
          <w:tcPr>
            <w:tcW w:w="0" w:type="auto"/>
          </w:tcPr>
          <w:p w14:paraId="2096995C" w14:textId="77777777" w:rsidR="006A08C3" w:rsidRPr="007639CB" w:rsidRDefault="006A08C3" w:rsidP="00DC4101">
            <w:pPr>
              <w:rPr>
                <w:color w:val="000000" w:themeColor="text1"/>
                <w:sz w:val="24"/>
                <w:szCs w:val="24"/>
              </w:rPr>
            </w:pPr>
            <w:r w:rsidRPr="007639CB">
              <w:rPr>
                <w:color w:val="000000" w:themeColor="text1"/>
                <w:sz w:val="24"/>
                <w:szCs w:val="24"/>
              </w:rPr>
              <w:t>July 1, 2022</w:t>
            </w:r>
          </w:p>
        </w:tc>
        <w:tc>
          <w:tcPr>
            <w:tcW w:w="0" w:type="auto"/>
          </w:tcPr>
          <w:p w14:paraId="4C8618F1" w14:textId="77777777" w:rsidR="006A08C3" w:rsidRPr="007639CB" w:rsidRDefault="006A08C3" w:rsidP="00DC4101">
            <w:pPr>
              <w:rPr>
                <w:color w:val="000000" w:themeColor="text1"/>
                <w:sz w:val="24"/>
                <w:szCs w:val="24"/>
              </w:rPr>
            </w:pPr>
            <w:r w:rsidRPr="007639CB">
              <w:rPr>
                <w:color w:val="000000" w:themeColor="text1"/>
                <w:sz w:val="24"/>
                <w:szCs w:val="24"/>
              </w:rPr>
              <w:t>Receipt of Grant Letter</w:t>
            </w:r>
          </w:p>
        </w:tc>
      </w:tr>
      <w:tr w:rsidR="007639CB" w:rsidRPr="007639CB" w14:paraId="39CB8A28" w14:textId="77777777" w:rsidTr="00DC4101">
        <w:tc>
          <w:tcPr>
            <w:tcW w:w="0" w:type="auto"/>
          </w:tcPr>
          <w:p w14:paraId="3CC44A2F" w14:textId="77777777" w:rsidR="006A08C3" w:rsidRPr="007639CB" w:rsidRDefault="006A08C3" w:rsidP="00DC4101">
            <w:pPr>
              <w:rPr>
                <w:color w:val="000000" w:themeColor="text1"/>
                <w:sz w:val="24"/>
                <w:szCs w:val="24"/>
              </w:rPr>
            </w:pPr>
            <w:r w:rsidRPr="007639CB">
              <w:rPr>
                <w:color w:val="000000" w:themeColor="text1"/>
                <w:sz w:val="24"/>
                <w:szCs w:val="24"/>
              </w:rPr>
              <w:t>July 1, 2022</w:t>
            </w:r>
          </w:p>
        </w:tc>
        <w:tc>
          <w:tcPr>
            <w:tcW w:w="0" w:type="auto"/>
          </w:tcPr>
          <w:p w14:paraId="515EB827" w14:textId="77777777" w:rsidR="006A08C3" w:rsidRPr="007639CB" w:rsidRDefault="006A08C3" w:rsidP="00DC4101">
            <w:pPr>
              <w:rPr>
                <w:color w:val="000000" w:themeColor="text1"/>
                <w:sz w:val="24"/>
                <w:szCs w:val="24"/>
              </w:rPr>
            </w:pPr>
            <w:r w:rsidRPr="007639CB">
              <w:rPr>
                <w:color w:val="000000" w:themeColor="text1"/>
                <w:sz w:val="24"/>
                <w:szCs w:val="24"/>
              </w:rPr>
              <w:t>Start Developing the Outline for the Proposed Changes to Four ITL Program Reading Courses</w:t>
            </w:r>
          </w:p>
        </w:tc>
      </w:tr>
      <w:tr w:rsidR="007639CB" w:rsidRPr="007639CB" w14:paraId="59371E0B" w14:textId="77777777" w:rsidTr="00DC4101">
        <w:tc>
          <w:tcPr>
            <w:tcW w:w="0" w:type="auto"/>
          </w:tcPr>
          <w:p w14:paraId="50800024" w14:textId="77777777" w:rsidR="006A08C3" w:rsidRPr="007639CB" w:rsidRDefault="006A08C3" w:rsidP="00DC4101">
            <w:pPr>
              <w:rPr>
                <w:color w:val="000000" w:themeColor="text1"/>
                <w:sz w:val="24"/>
                <w:szCs w:val="24"/>
              </w:rPr>
            </w:pPr>
            <w:r w:rsidRPr="007639CB">
              <w:rPr>
                <w:color w:val="000000" w:themeColor="text1"/>
                <w:sz w:val="24"/>
                <w:szCs w:val="24"/>
              </w:rPr>
              <w:t>July 1, 2022</w:t>
            </w:r>
          </w:p>
        </w:tc>
        <w:tc>
          <w:tcPr>
            <w:tcW w:w="0" w:type="auto"/>
          </w:tcPr>
          <w:p w14:paraId="59923639" w14:textId="77777777" w:rsidR="006A08C3" w:rsidRPr="007639CB" w:rsidRDefault="006A08C3" w:rsidP="00DC4101">
            <w:pPr>
              <w:rPr>
                <w:color w:val="000000" w:themeColor="text1"/>
                <w:sz w:val="24"/>
                <w:szCs w:val="24"/>
              </w:rPr>
            </w:pPr>
            <w:r w:rsidRPr="007639CB">
              <w:rPr>
                <w:color w:val="000000" w:themeColor="text1"/>
                <w:sz w:val="24"/>
                <w:szCs w:val="24"/>
              </w:rPr>
              <w:t>Contact Manager, Dean Support to Initiate Contract for Consultant to Develop the Professional Development Sessions</w:t>
            </w:r>
          </w:p>
        </w:tc>
      </w:tr>
      <w:tr w:rsidR="007639CB" w:rsidRPr="007639CB" w14:paraId="7208A2BF" w14:textId="77777777" w:rsidTr="00DC4101">
        <w:tc>
          <w:tcPr>
            <w:tcW w:w="0" w:type="auto"/>
          </w:tcPr>
          <w:p w14:paraId="32887712" w14:textId="77777777" w:rsidR="006A08C3" w:rsidRPr="007639CB" w:rsidRDefault="006A08C3" w:rsidP="00DC4101">
            <w:pPr>
              <w:rPr>
                <w:color w:val="000000" w:themeColor="text1"/>
                <w:sz w:val="24"/>
                <w:szCs w:val="24"/>
              </w:rPr>
            </w:pPr>
            <w:r w:rsidRPr="007639CB">
              <w:rPr>
                <w:color w:val="000000" w:themeColor="text1"/>
                <w:sz w:val="24"/>
                <w:szCs w:val="24"/>
              </w:rPr>
              <w:t>July 1, 2022</w:t>
            </w:r>
          </w:p>
        </w:tc>
        <w:tc>
          <w:tcPr>
            <w:tcW w:w="0" w:type="auto"/>
          </w:tcPr>
          <w:p w14:paraId="384CB6AB" w14:textId="77777777" w:rsidR="006A08C3" w:rsidRPr="007639CB" w:rsidRDefault="006A08C3" w:rsidP="00DC4101">
            <w:pPr>
              <w:rPr>
                <w:color w:val="000000" w:themeColor="text1"/>
                <w:sz w:val="24"/>
                <w:szCs w:val="24"/>
              </w:rPr>
            </w:pPr>
            <w:r w:rsidRPr="007639CB">
              <w:rPr>
                <w:color w:val="000000" w:themeColor="text1"/>
                <w:sz w:val="24"/>
                <w:szCs w:val="24"/>
              </w:rPr>
              <w:t>Convene Reading Development Committee to include ITL Faculty and Library research Specialist</w:t>
            </w:r>
          </w:p>
        </w:tc>
      </w:tr>
      <w:tr w:rsidR="007639CB" w:rsidRPr="007639CB" w14:paraId="69C54058" w14:textId="77777777" w:rsidTr="00DC4101">
        <w:tc>
          <w:tcPr>
            <w:tcW w:w="0" w:type="auto"/>
          </w:tcPr>
          <w:p w14:paraId="5058776A" w14:textId="77777777" w:rsidR="006A08C3" w:rsidRPr="007639CB" w:rsidRDefault="006A08C3" w:rsidP="00DC4101">
            <w:pPr>
              <w:rPr>
                <w:color w:val="000000" w:themeColor="text1"/>
                <w:sz w:val="24"/>
                <w:szCs w:val="24"/>
              </w:rPr>
            </w:pPr>
            <w:r w:rsidRPr="007639CB">
              <w:rPr>
                <w:color w:val="000000" w:themeColor="text1"/>
                <w:sz w:val="24"/>
                <w:szCs w:val="24"/>
              </w:rPr>
              <w:t>July 10, 2022</w:t>
            </w:r>
          </w:p>
        </w:tc>
        <w:tc>
          <w:tcPr>
            <w:tcW w:w="0" w:type="auto"/>
          </w:tcPr>
          <w:p w14:paraId="6CEA0B6D" w14:textId="77777777" w:rsidR="006A08C3" w:rsidRPr="007639CB" w:rsidRDefault="006A08C3" w:rsidP="00DC4101">
            <w:pPr>
              <w:rPr>
                <w:color w:val="000000" w:themeColor="text1"/>
                <w:sz w:val="24"/>
                <w:szCs w:val="24"/>
              </w:rPr>
            </w:pPr>
            <w:r w:rsidRPr="007639CB">
              <w:rPr>
                <w:color w:val="000000" w:themeColor="text1"/>
                <w:sz w:val="24"/>
                <w:szCs w:val="24"/>
              </w:rPr>
              <w:t>Contract Consultant to Develop the Professional Development Sessions for the Adjunct Faculty</w:t>
            </w:r>
          </w:p>
        </w:tc>
      </w:tr>
      <w:tr w:rsidR="007639CB" w:rsidRPr="007639CB" w14:paraId="6A6A5807" w14:textId="77777777" w:rsidTr="00DC4101">
        <w:tc>
          <w:tcPr>
            <w:tcW w:w="0" w:type="auto"/>
          </w:tcPr>
          <w:p w14:paraId="4F42519A" w14:textId="77777777" w:rsidR="006A08C3" w:rsidRPr="007639CB" w:rsidRDefault="006A08C3" w:rsidP="00DC4101">
            <w:pPr>
              <w:rPr>
                <w:color w:val="000000" w:themeColor="text1"/>
                <w:sz w:val="24"/>
                <w:szCs w:val="24"/>
              </w:rPr>
            </w:pPr>
            <w:r w:rsidRPr="007639CB">
              <w:rPr>
                <w:color w:val="000000" w:themeColor="text1"/>
                <w:sz w:val="24"/>
                <w:szCs w:val="24"/>
              </w:rPr>
              <w:t>August 1, 2022</w:t>
            </w:r>
          </w:p>
        </w:tc>
        <w:tc>
          <w:tcPr>
            <w:tcW w:w="0" w:type="auto"/>
          </w:tcPr>
          <w:p w14:paraId="3E414E6C" w14:textId="77777777" w:rsidR="006A08C3" w:rsidRPr="007639CB" w:rsidRDefault="006A08C3" w:rsidP="00DC4101">
            <w:pPr>
              <w:rPr>
                <w:color w:val="000000" w:themeColor="text1"/>
                <w:sz w:val="24"/>
                <w:szCs w:val="24"/>
              </w:rPr>
            </w:pPr>
            <w:r w:rsidRPr="007639CB">
              <w:rPr>
                <w:color w:val="000000" w:themeColor="text1"/>
                <w:sz w:val="24"/>
                <w:szCs w:val="24"/>
              </w:rPr>
              <w:t>Consultant Begins Development of Professional Development Sessions</w:t>
            </w:r>
          </w:p>
        </w:tc>
      </w:tr>
      <w:tr w:rsidR="007639CB" w:rsidRPr="007639CB" w14:paraId="0F2B7BEA" w14:textId="77777777" w:rsidTr="00DC4101">
        <w:tc>
          <w:tcPr>
            <w:tcW w:w="0" w:type="auto"/>
          </w:tcPr>
          <w:p w14:paraId="0CBFF9BC" w14:textId="77777777" w:rsidR="006A08C3" w:rsidRPr="007639CB" w:rsidRDefault="006A08C3" w:rsidP="00DC4101">
            <w:pPr>
              <w:rPr>
                <w:color w:val="000000" w:themeColor="text1"/>
                <w:sz w:val="24"/>
                <w:szCs w:val="24"/>
              </w:rPr>
            </w:pPr>
            <w:r w:rsidRPr="007639CB">
              <w:rPr>
                <w:color w:val="000000" w:themeColor="text1"/>
                <w:sz w:val="24"/>
                <w:szCs w:val="24"/>
              </w:rPr>
              <w:t>September 1, 2022</w:t>
            </w:r>
          </w:p>
        </w:tc>
        <w:tc>
          <w:tcPr>
            <w:tcW w:w="0" w:type="auto"/>
          </w:tcPr>
          <w:p w14:paraId="3BDC5812" w14:textId="77777777" w:rsidR="006A08C3" w:rsidRPr="007639CB" w:rsidRDefault="006A08C3" w:rsidP="00DC4101">
            <w:pPr>
              <w:rPr>
                <w:color w:val="000000" w:themeColor="text1"/>
                <w:sz w:val="24"/>
                <w:szCs w:val="24"/>
              </w:rPr>
            </w:pPr>
            <w:r w:rsidRPr="007639CB">
              <w:rPr>
                <w:color w:val="000000" w:themeColor="text1"/>
                <w:sz w:val="24"/>
                <w:szCs w:val="24"/>
              </w:rPr>
              <w:t>Complete the Development of the Outline of the Proposed Changes to Four ITL Program Reading Courses</w:t>
            </w:r>
          </w:p>
        </w:tc>
      </w:tr>
      <w:tr w:rsidR="007639CB" w:rsidRPr="007639CB" w14:paraId="54B63295" w14:textId="77777777" w:rsidTr="00DC4101">
        <w:tc>
          <w:tcPr>
            <w:tcW w:w="0" w:type="auto"/>
          </w:tcPr>
          <w:p w14:paraId="123D7D87" w14:textId="77777777" w:rsidR="006A08C3" w:rsidRPr="007639CB" w:rsidRDefault="006A08C3" w:rsidP="00DC4101">
            <w:pPr>
              <w:rPr>
                <w:color w:val="000000" w:themeColor="text1"/>
                <w:sz w:val="24"/>
                <w:szCs w:val="24"/>
              </w:rPr>
            </w:pPr>
            <w:r w:rsidRPr="007639CB">
              <w:rPr>
                <w:color w:val="000000" w:themeColor="text1"/>
                <w:sz w:val="24"/>
                <w:szCs w:val="24"/>
              </w:rPr>
              <w:t>September 2, 2022</w:t>
            </w:r>
          </w:p>
        </w:tc>
        <w:tc>
          <w:tcPr>
            <w:tcW w:w="0" w:type="auto"/>
          </w:tcPr>
          <w:p w14:paraId="5C055C63" w14:textId="77777777" w:rsidR="006A08C3" w:rsidRPr="007639CB" w:rsidRDefault="006A08C3" w:rsidP="00DC4101">
            <w:pPr>
              <w:rPr>
                <w:color w:val="000000" w:themeColor="text1"/>
                <w:sz w:val="24"/>
                <w:szCs w:val="24"/>
              </w:rPr>
            </w:pPr>
            <w:r w:rsidRPr="007639CB">
              <w:rPr>
                <w:color w:val="000000" w:themeColor="text1"/>
                <w:sz w:val="24"/>
                <w:szCs w:val="24"/>
              </w:rPr>
              <w:t>Course Lead Launches the Course Modifications in CNET</w:t>
            </w:r>
          </w:p>
        </w:tc>
      </w:tr>
      <w:tr w:rsidR="007639CB" w:rsidRPr="007639CB" w14:paraId="40DDF457" w14:textId="77777777" w:rsidTr="00DC4101">
        <w:tc>
          <w:tcPr>
            <w:tcW w:w="0" w:type="auto"/>
          </w:tcPr>
          <w:p w14:paraId="6CBF5831" w14:textId="77777777" w:rsidR="006A08C3" w:rsidRPr="007639CB" w:rsidRDefault="006A08C3" w:rsidP="00DC4101">
            <w:pPr>
              <w:rPr>
                <w:color w:val="000000" w:themeColor="text1"/>
                <w:sz w:val="24"/>
                <w:szCs w:val="24"/>
              </w:rPr>
            </w:pPr>
            <w:r w:rsidRPr="007639CB">
              <w:rPr>
                <w:color w:val="000000" w:themeColor="text1"/>
                <w:sz w:val="24"/>
                <w:szCs w:val="24"/>
              </w:rPr>
              <w:t>September 15, 2022</w:t>
            </w:r>
          </w:p>
        </w:tc>
        <w:tc>
          <w:tcPr>
            <w:tcW w:w="0" w:type="auto"/>
          </w:tcPr>
          <w:p w14:paraId="03A73662" w14:textId="77777777" w:rsidR="006A08C3" w:rsidRPr="007639CB" w:rsidRDefault="006A08C3" w:rsidP="00DC4101">
            <w:pPr>
              <w:rPr>
                <w:color w:val="000000" w:themeColor="text1"/>
                <w:sz w:val="24"/>
                <w:szCs w:val="24"/>
              </w:rPr>
            </w:pPr>
            <w:r w:rsidRPr="007639CB">
              <w:rPr>
                <w:color w:val="000000" w:themeColor="text1"/>
                <w:sz w:val="24"/>
                <w:szCs w:val="24"/>
              </w:rPr>
              <w:t>Reading Development Committee Reviews Outline of Professional Development Sessions</w:t>
            </w:r>
          </w:p>
        </w:tc>
      </w:tr>
      <w:tr w:rsidR="007639CB" w:rsidRPr="007639CB" w14:paraId="2E299E86" w14:textId="77777777" w:rsidTr="00DC4101">
        <w:tc>
          <w:tcPr>
            <w:tcW w:w="0" w:type="auto"/>
          </w:tcPr>
          <w:p w14:paraId="1DF383ED" w14:textId="77777777" w:rsidR="006A08C3" w:rsidRPr="007639CB" w:rsidRDefault="006A08C3" w:rsidP="00DC4101">
            <w:pPr>
              <w:rPr>
                <w:color w:val="000000" w:themeColor="text1"/>
                <w:sz w:val="24"/>
                <w:szCs w:val="24"/>
              </w:rPr>
            </w:pPr>
            <w:r w:rsidRPr="007639CB">
              <w:rPr>
                <w:color w:val="000000" w:themeColor="text1"/>
                <w:sz w:val="24"/>
                <w:szCs w:val="24"/>
              </w:rPr>
              <w:t>September 30, 2022</w:t>
            </w:r>
          </w:p>
        </w:tc>
        <w:tc>
          <w:tcPr>
            <w:tcW w:w="0" w:type="auto"/>
          </w:tcPr>
          <w:p w14:paraId="2218D82B" w14:textId="77777777" w:rsidR="006A08C3" w:rsidRPr="007639CB" w:rsidRDefault="006A08C3" w:rsidP="00DC4101">
            <w:pPr>
              <w:rPr>
                <w:color w:val="000000" w:themeColor="text1"/>
                <w:sz w:val="24"/>
                <w:szCs w:val="24"/>
              </w:rPr>
            </w:pPr>
            <w:r w:rsidRPr="007639CB">
              <w:rPr>
                <w:color w:val="000000" w:themeColor="text1"/>
                <w:sz w:val="24"/>
                <w:szCs w:val="24"/>
              </w:rPr>
              <w:t>Curriculum Review Committee (CRC) Completes its Review of the Course Modifications</w:t>
            </w:r>
          </w:p>
        </w:tc>
      </w:tr>
      <w:tr w:rsidR="007639CB" w:rsidRPr="007639CB" w14:paraId="25FDC8F1" w14:textId="77777777" w:rsidTr="00DC4101">
        <w:tc>
          <w:tcPr>
            <w:tcW w:w="0" w:type="auto"/>
          </w:tcPr>
          <w:p w14:paraId="0DB3374D" w14:textId="77777777" w:rsidR="006A08C3" w:rsidRPr="007639CB" w:rsidRDefault="006A08C3" w:rsidP="00DC4101">
            <w:pPr>
              <w:rPr>
                <w:color w:val="000000" w:themeColor="text1"/>
                <w:sz w:val="24"/>
                <w:szCs w:val="24"/>
              </w:rPr>
            </w:pPr>
            <w:r w:rsidRPr="007639CB">
              <w:rPr>
                <w:color w:val="000000" w:themeColor="text1"/>
                <w:sz w:val="24"/>
                <w:szCs w:val="24"/>
              </w:rPr>
              <w:t>October 15, 2022</w:t>
            </w:r>
          </w:p>
        </w:tc>
        <w:tc>
          <w:tcPr>
            <w:tcW w:w="0" w:type="auto"/>
          </w:tcPr>
          <w:p w14:paraId="2F5D366D" w14:textId="77777777" w:rsidR="006A08C3" w:rsidRPr="007639CB" w:rsidRDefault="006A08C3" w:rsidP="00DC4101">
            <w:pPr>
              <w:rPr>
                <w:color w:val="000000" w:themeColor="text1"/>
                <w:sz w:val="24"/>
                <w:szCs w:val="24"/>
              </w:rPr>
            </w:pPr>
            <w:r w:rsidRPr="007639CB">
              <w:rPr>
                <w:color w:val="000000" w:themeColor="text1"/>
                <w:sz w:val="24"/>
                <w:szCs w:val="24"/>
              </w:rPr>
              <w:t>Course Lead Submits Responses to the CRCs’ Comments</w:t>
            </w:r>
          </w:p>
        </w:tc>
      </w:tr>
      <w:tr w:rsidR="007639CB" w:rsidRPr="007639CB" w14:paraId="2A0EF2A0" w14:textId="77777777" w:rsidTr="00DC4101">
        <w:tc>
          <w:tcPr>
            <w:tcW w:w="0" w:type="auto"/>
          </w:tcPr>
          <w:p w14:paraId="14129B1F" w14:textId="77777777" w:rsidR="006A08C3" w:rsidRPr="007639CB" w:rsidRDefault="006A08C3" w:rsidP="00DC4101">
            <w:pPr>
              <w:rPr>
                <w:color w:val="000000" w:themeColor="text1"/>
                <w:sz w:val="24"/>
                <w:szCs w:val="24"/>
              </w:rPr>
            </w:pPr>
            <w:r w:rsidRPr="007639CB">
              <w:rPr>
                <w:color w:val="000000" w:themeColor="text1"/>
                <w:sz w:val="24"/>
                <w:szCs w:val="24"/>
              </w:rPr>
              <w:t>October 15, 2022</w:t>
            </w:r>
          </w:p>
        </w:tc>
        <w:tc>
          <w:tcPr>
            <w:tcW w:w="0" w:type="auto"/>
          </w:tcPr>
          <w:p w14:paraId="28D5B860" w14:textId="77777777" w:rsidR="006A08C3" w:rsidRPr="007639CB" w:rsidRDefault="006A08C3" w:rsidP="00DC4101">
            <w:pPr>
              <w:rPr>
                <w:color w:val="000000" w:themeColor="text1"/>
                <w:sz w:val="24"/>
                <w:szCs w:val="24"/>
              </w:rPr>
            </w:pPr>
            <w:r w:rsidRPr="007639CB">
              <w:rPr>
                <w:color w:val="000000" w:themeColor="text1"/>
                <w:sz w:val="24"/>
                <w:szCs w:val="24"/>
              </w:rPr>
              <w:t>First Professional Development Session Convenes</w:t>
            </w:r>
          </w:p>
        </w:tc>
      </w:tr>
      <w:tr w:rsidR="007639CB" w:rsidRPr="007639CB" w14:paraId="3ADA0EEB" w14:textId="77777777" w:rsidTr="00DC4101">
        <w:tc>
          <w:tcPr>
            <w:tcW w:w="0" w:type="auto"/>
          </w:tcPr>
          <w:p w14:paraId="1A7E9D00" w14:textId="77777777" w:rsidR="006A08C3" w:rsidRPr="007639CB" w:rsidRDefault="006A08C3" w:rsidP="00DC4101">
            <w:pPr>
              <w:rPr>
                <w:color w:val="000000" w:themeColor="text1"/>
                <w:sz w:val="24"/>
                <w:szCs w:val="24"/>
              </w:rPr>
            </w:pPr>
            <w:r w:rsidRPr="007639CB">
              <w:rPr>
                <w:color w:val="000000" w:themeColor="text1"/>
                <w:sz w:val="24"/>
                <w:szCs w:val="24"/>
              </w:rPr>
              <w:t>October 29, 2022</w:t>
            </w:r>
          </w:p>
        </w:tc>
        <w:tc>
          <w:tcPr>
            <w:tcW w:w="0" w:type="auto"/>
          </w:tcPr>
          <w:p w14:paraId="0659B74F" w14:textId="77777777" w:rsidR="006A08C3" w:rsidRPr="007639CB" w:rsidRDefault="006A08C3" w:rsidP="00DC4101">
            <w:pPr>
              <w:rPr>
                <w:color w:val="000000" w:themeColor="text1"/>
                <w:sz w:val="24"/>
                <w:szCs w:val="24"/>
              </w:rPr>
            </w:pPr>
            <w:r w:rsidRPr="007639CB">
              <w:rPr>
                <w:color w:val="000000" w:themeColor="text1"/>
                <w:sz w:val="24"/>
                <w:szCs w:val="24"/>
              </w:rPr>
              <w:t>Second Professional Development Session Convenes</w:t>
            </w:r>
          </w:p>
        </w:tc>
      </w:tr>
      <w:tr w:rsidR="007639CB" w:rsidRPr="007639CB" w14:paraId="5D5237D6" w14:textId="77777777" w:rsidTr="00DC4101">
        <w:tc>
          <w:tcPr>
            <w:tcW w:w="0" w:type="auto"/>
          </w:tcPr>
          <w:p w14:paraId="5A7B1035" w14:textId="77777777" w:rsidR="006A08C3" w:rsidRPr="007639CB" w:rsidRDefault="006A08C3" w:rsidP="00DC4101">
            <w:pPr>
              <w:rPr>
                <w:color w:val="000000" w:themeColor="text1"/>
                <w:sz w:val="24"/>
                <w:szCs w:val="24"/>
              </w:rPr>
            </w:pPr>
            <w:r w:rsidRPr="007639CB">
              <w:rPr>
                <w:color w:val="000000" w:themeColor="text1"/>
                <w:sz w:val="24"/>
                <w:szCs w:val="24"/>
              </w:rPr>
              <w:t>October 31, 2022</w:t>
            </w:r>
          </w:p>
        </w:tc>
        <w:tc>
          <w:tcPr>
            <w:tcW w:w="0" w:type="auto"/>
          </w:tcPr>
          <w:p w14:paraId="3E299BFE" w14:textId="77777777" w:rsidR="006A08C3" w:rsidRPr="007639CB" w:rsidRDefault="006A08C3" w:rsidP="00DC4101">
            <w:pPr>
              <w:rPr>
                <w:color w:val="000000" w:themeColor="text1"/>
                <w:sz w:val="24"/>
                <w:szCs w:val="24"/>
              </w:rPr>
            </w:pPr>
            <w:r w:rsidRPr="007639CB">
              <w:rPr>
                <w:color w:val="000000" w:themeColor="text1"/>
                <w:sz w:val="24"/>
                <w:szCs w:val="24"/>
              </w:rPr>
              <w:t>CRC completes its Second Review of the Course Modifications and Submits Final Approval</w:t>
            </w:r>
          </w:p>
        </w:tc>
      </w:tr>
      <w:tr w:rsidR="007639CB" w:rsidRPr="007639CB" w14:paraId="1C3CADB9" w14:textId="77777777" w:rsidTr="00DC4101">
        <w:tc>
          <w:tcPr>
            <w:tcW w:w="0" w:type="auto"/>
          </w:tcPr>
          <w:p w14:paraId="36350168" w14:textId="77777777" w:rsidR="006A08C3" w:rsidRPr="007639CB" w:rsidRDefault="006A08C3" w:rsidP="00DC4101">
            <w:pPr>
              <w:rPr>
                <w:color w:val="000000" w:themeColor="text1"/>
                <w:sz w:val="24"/>
                <w:szCs w:val="24"/>
              </w:rPr>
            </w:pPr>
            <w:r w:rsidRPr="007639CB">
              <w:rPr>
                <w:color w:val="000000" w:themeColor="text1"/>
                <w:sz w:val="24"/>
                <w:szCs w:val="24"/>
              </w:rPr>
              <w:t>November 1, 2022</w:t>
            </w:r>
          </w:p>
        </w:tc>
        <w:tc>
          <w:tcPr>
            <w:tcW w:w="0" w:type="auto"/>
          </w:tcPr>
          <w:p w14:paraId="2A83C581" w14:textId="77777777" w:rsidR="006A08C3" w:rsidRPr="007639CB" w:rsidRDefault="006A08C3" w:rsidP="00DC4101">
            <w:pPr>
              <w:rPr>
                <w:color w:val="000000" w:themeColor="text1"/>
                <w:sz w:val="24"/>
                <w:szCs w:val="24"/>
              </w:rPr>
            </w:pPr>
            <w:r w:rsidRPr="007639CB">
              <w:rPr>
                <w:color w:val="000000" w:themeColor="text1"/>
                <w:sz w:val="24"/>
                <w:szCs w:val="24"/>
              </w:rPr>
              <w:t>Third Professional Development Session Convenes</w:t>
            </w:r>
          </w:p>
        </w:tc>
      </w:tr>
      <w:tr w:rsidR="007639CB" w:rsidRPr="007639CB" w14:paraId="32F26974" w14:textId="77777777" w:rsidTr="00DC4101">
        <w:tc>
          <w:tcPr>
            <w:tcW w:w="0" w:type="auto"/>
          </w:tcPr>
          <w:p w14:paraId="5EE14D19" w14:textId="77777777" w:rsidR="006A08C3" w:rsidRPr="007639CB" w:rsidRDefault="006A08C3" w:rsidP="00DC4101">
            <w:pPr>
              <w:rPr>
                <w:color w:val="000000" w:themeColor="text1"/>
                <w:sz w:val="24"/>
                <w:szCs w:val="24"/>
              </w:rPr>
            </w:pPr>
            <w:r w:rsidRPr="007639CB">
              <w:rPr>
                <w:color w:val="000000" w:themeColor="text1"/>
                <w:sz w:val="24"/>
                <w:szCs w:val="24"/>
              </w:rPr>
              <w:t>November 10-12, 2022</w:t>
            </w:r>
          </w:p>
        </w:tc>
        <w:tc>
          <w:tcPr>
            <w:tcW w:w="0" w:type="auto"/>
          </w:tcPr>
          <w:p w14:paraId="0457AF72" w14:textId="77777777" w:rsidR="006A08C3" w:rsidRPr="007639CB" w:rsidRDefault="006A08C3" w:rsidP="00DC4101">
            <w:pPr>
              <w:rPr>
                <w:color w:val="000000" w:themeColor="text1"/>
                <w:sz w:val="24"/>
                <w:szCs w:val="24"/>
              </w:rPr>
            </w:pPr>
            <w:r w:rsidRPr="007639CB">
              <w:rPr>
                <w:color w:val="000000" w:themeColor="text1"/>
                <w:sz w:val="24"/>
                <w:szCs w:val="24"/>
              </w:rPr>
              <w:t>International Dyslexia Association Conference in San Antonio, Texas</w:t>
            </w:r>
          </w:p>
        </w:tc>
      </w:tr>
      <w:tr w:rsidR="007639CB" w:rsidRPr="007639CB" w14:paraId="6E93DBC0" w14:textId="77777777" w:rsidTr="00DC4101">
        <w:tc>
          <w:tcPr>
            <w:tcW w:w="0" w:type="auto"/>
          </w:tcPr>
          <w:p w14:paraId="18C45418" w14:textId="77777777" w:rsidR="006A08C3" w:rsidRPr="007639CB" w:rsidRDefault="006A08C3" w:rsidP="00DC4101">
            <w:pPr>
              <w:rPr>
                <w:color w:val="000000" w:themeColor="text1"/>
                <w:sz w:val="24"/>
                <w:szCs w:val="24"/>
              </w:rPr>
            </w:pPr>
            <w:r w:rsidRPr="007639CB">
              <w:rPr>
                <w:color w:val="000000" w:themeColor="text1"/>
                <w:sz w:val="24"/>
                <w:szCs w:val="24"/>
              </w:rPr>
              <w:t>November 15, 2022</w:t>
            </w:r>
          </w:p>
        </w:tc>
        <w:tc>
          <w:tcPr>
            <w:tcW w:w="0" w:type="auto"/>
          </w:tcPr>
          <w:p w14:paraId="3EDAE51A" w14:textId="77777777" w:rsidR="006A08C3" w:rsidRPr="007639CB" w:rsidRDefault="006A08C3" w:rsidP="00DC4101">
            <w:pPr>
              <w:rPr>
                <w:color w:val="000000" w:themeColor="text1"/>
                <w:sz w:val="24"/>
                <w:szCs w:val="24"/>
              </w:rPr>
            </w:pPr>
            <w:r w:rsidRPr="007639CB">
              <w:rPr>
                <w:color w:val="000000" w:themeColor="text1"/>
                <w:sz w:val="24"/>
                <w:szCs w:val="24"/>
              </w:rPr>
              <w:t>Fourth Professional Development Session Convenes</w:t>
            </w:r>
          </w:p>
        </w:tc>
      </w:tr>
      <w:tr w:rsidR="007639CB" w:rsidRPr="007639CB" w14:paraId="03471D79" w14:textId="77777777" w:rsidTr="00DC4101">
        <w:tc>
          <w:tcPr>
            <w:tcW w:w="0" w:type="auto"/>
          </w:tcPr>
          <w:p w14:paraId="396255A1" w14:textId="77777777" w:rsidR="006A08C3" w:rsidRPr="007639CB" w:rsidRDefault="006A08C3" w:rsidP="00DC4101">
            <w:pPr>
              <w:rPr>
                <w:color w:val="000000" w:themeColor="text1"/>
                <w:sz w:val="24"/>
                <w:szCs w:val="24"/>
              </w:rPr>
            </w:pPr>
            <w:r w:rsidRPr="007639CB">
              <w:rPr>
                <w:color w:val="000000" w:themeColor="text1"/>
                <w:sz w:val="24"/>
                <w:szCs w:val="24"/>
              </w:rPr>
              <w:t>November 15, 2022</w:t>
            </w:r>
          </w:p>
        </w:tc>
        <w:tc>
          <w:tcPr>
            <w:tcW w:w="0" w:type="auto"/>
          </w:tcPr>
          <w:p w14:paraId="0C7BC527" w14:textId="77777777" w:rsidR="006A08C3" w:rsidRPr="007639CB" w:rsidRDefault="006A08C3" w:rsidP="00DC4101">
            <w:pPr>
              <w:rPr>
                <w:color w:val="000000" w:themeColor="text1"/>
                <w:sz w:val="24"/>
                <w:szCs w:val="24"/>
              </w:rPr>
            </w:pPr>
            <w:r w:rsidRPr="007639CB">
              <w:rPr>
                <w:color w:val="000000" w:themeColor="text1"/>
                <w:sz w:val="24"/>
                <w:szCs w:val="24"/>
              </w:rPr>
              <w:t>Final Approval from All Reviewers is Submitted in CNET</w:t>
            </w:r>
          </w:p>
        </w:tc>
      </w:tr>
      <w:tr w:rsidR="007639CB" w:rsidRPr="007639CB" w14:paraId="71383C0E" w14:textId="77777777" w:rsidTr="00DC4101">
        <w:tc>
          <w:tcPr>
            <w:tcW w:w="0" w:type="auto"/>
          </w:tcPr>
          <w:p w14:paraId="5A425630" w14:textId="77777777" w:rsidR="006A08C3" w:rsidRPr="007639CB" w:rsidRDefault="006A08C3" w:rsidP="00DC4101">
            <w:pPr>
              <w:rPr>
                <w:color w:val="000000" w:themeColor="text1"/>
                <w:sz w:val="24"/>
                <w:szCs w:val="24"/>
              </w:rPr>
            </w:pPr>
            <w:r w:rsidRPr="007639CB">
              <w:rPr>
                <w:color w:val="000000" w:themeColor="text1"/>
                <w:sz w:val="24"/>
                <w:szCs w:val="24"/>
              </w:rPr>
              <w:t>November 16, 2022</w:t>
            </w:r>
          </w:p>
        </w:tc>
        <w:tc>
          <w:tcPr>
            <w:tcW w:w="0" w:type="auto"/>
          </w:tcPr>
          <w:p w14:paraId="3DF1683A" w14:textId="77777777" w:rsidR="006A08C3" w:rsidRPr="007639CB" w:rsidRDefault="006A08C3" w:rsidP="00DC4101">
            <w:pPr>
              <w:rPr>
                <w:color w:val="000000" w:themeColor="text1"/>
                <w:sz w:val="24"/>
                <w:szCs w:val="24"/>
              </w:rPr>
            </w:pPr>
            <w:r w:rsidRPr="007639CB">
              <w:rPr>
                <w:color w:val="000000" w:themeColor="text1"/>
                <w:sz w:val="24"/>
                <w:szCs w:val="24"/>
              </w:rPr>
              <w:t>Academic Program Director contacts Manager, Dean Support to Create Course Development Contracts</w:t>
            </w:r>
          </w:p>
        </w:tc>
      </w:tr>
      <w:tr w:rsidR="007639CB" w:rsidRPr="007639CB" w14:paraId="612F342D" w14:textId="77777777" w:rsidTr="00DC4101">
        <w:tc>
          <w:tcPr>
            <w:tcW w:w="0" w:type="auto"/>
          </w:tcPr>
          <w:p w14:paraId="1564CDC4" w14:textId="77777777" w:rsidR="006A08C3" w:rsidRPr="007639CB" w:rsidRDefault="006A08C3" w:rsidP="00DC4101">
            <w:pPr>
              <w:rPr>
                <w:color w:val="000000" w:themeColor="text1"/>
                <w:sz w:val="24"/>
                <w:szCs w:val="24"/>
              </w:rPr>
            </w:pPr>
            <w:r w:rsidRPr="007639CB">
              <w:rPr>
                <w:color w:val="000000" w:themeColor="text1"/>
                <w:sz w:val="24"/>
                <w:szCs w:val="24"/>
              </w:rPr>
              <w:t>November 30, 2022</w:t>
            </w:r>
          </w:p>
        </w:tc>
        <w:tc>
          <w:tcPr>
            <w:tcW w:w="0" w:type="auto"/>
          </w:tcPr>
          <w:p w14:paraId="5736823D" w14:textId="77777777" w:rsidR="006A08C3" w:rsidRPr="007639CB" w:rsidRDefault="006A08C3" w:rsidP="00DC4101">
            <w:pPr>
              <w:rPr>
                <w:color w:val="000000" w:themeColor="text1"/>
                <w:sz w:val="24"/>
                <w:szCs w:val="24"/>
              </w:rPr>
            </w:pPr>
            <w:r w:rsidRPr="007639CB">
              <w:rPr>
                <w:color w:val="000000" w:themeColor="text1"/>
                <w:sz w:val="24"/>
                <w:szCs w:val="24"/>
              </w:rPr>
              <w:t>Course Development Contracts are Approved and Routed to Director of Learning Experience Design, Center for Innovation in Learning</w:t>
            </w:r>
          </w:p>
        </w:tc>
      </w:tr>
      <w:tr w:rsidR="007639CB" w:rsidRPr="007639CB" w14:paraId="1FA55969" w14:textId="77777777" w:rsidTr="00DC4101">
        <w:tc>
          <w:tcPr>
            <w:tcW w:w="0" w:type="auto"/>
          </w:tcPr>
          <w:p w14:paraId="6AF19044" w14:textId="77777777" w:rsidR="006A08C3" w:rsidRPr="007639CB" w:rsidRDefault="006A08C3" w:rsidP="00DC4101">
            <w:pPr>
              <w:rPr>
                <w:color w:val="000000" w:themeColor="text1"/>
                <w:sz w:val="24"/>
                <w:szCs w:val="24"/>
              </w:rPr>
            </w:pPr>
            <w:r w:rsidRPr="007639CB">
              <w:rPr>
                <w:color w:val="000000" w:themeColor="text1"/>
                <w:sz w:val="24"/>
                <w:szCs w:val="24"/>
              </w:rPr>
              <w:lastRenderedPageBreak/>
              <w:t>December 15, 2022</w:t>
            </w:r>
          </w:p>
        </w:tc>
        <w:tc>
          <w:tcPr>
            <w:tcW w:w="0" w:type="auto"/>
          </w:tcPr>
          <w:p w14:paraId="50386C73" w14:textId="77777777" w:rsidR="006A08C3" w:rsidRPr="007639CB" w:rsidRDefault="006A08C3" w:rsidP="00DC4101">
            <w:pPr>
              <w:rPr>
                <w:color w:val="000000" w:themeColor="text1"/>
                <w:sz w:val="24"/>
                <w:szCs w:val="24"/>
              </w:rPr>
            </w:pPr>
            <w:r w:rsidRPr="007639CB">
              <w:rPr>
                <w:color w:val="000000" w:themeColor="text1"/>
                <w:sz w:val="24"/>
                <w:szCs w:val="24"/>
              </w:rPr>
              <w:t>Subject Matter Expert Meets with LXD to Begin Course Modifications</w:t>
            </w:r>
          </w:p>
        </w:tc>
      </w:tr>
      <w:tr w:rsidR="007639CB" w:rsidRPr="007639CB" w14:paraId="2065D8C7" w14:textId="77777777" w:rsidTr="00DC4101">
        <w:tc>
          <w:tcPr>
            <w:tcW w:w="0" w:type="auto"/>
          </w:tcPr>
          <w:p w14:paraId="2563DE9F" w14:textId="77777777" w:rsidR="006A08C3" w:rsidRPr="007639CB" w:rsidRDefault="006A08C3" w:rsidP="00DC4101">
            <w:pPr>
              <w:rPr>
                <w:color w:val="000000" w:themeColor="text1"/>
                <w:sz w:val="24"/>
                <w:szCs w:val="24"/>
              </w:rPr>
            </w:pPr>
            <w:r w:rsidRPr="007639CB">
              <w:rPr>
                <w:color w:val="000000" w:themeColor="text1"/>
                <w:sz w:val="24"/>
                <w:szCs w:val="24"/>
              </w:rPr>
              <w:t>April 15, 2023</w:t>
            </w:r>
          </w:p>
        </w:tc>
        <w:tc>
          <w:tcPr>
            <w:tcW w:w="0" w:type="auto"/>
          </w:tcPr>
          <w:p w14:paraId="03604C90" w14:textId="77777777" w:rsidR="006A08C3" w:rsidRPr="007639CB" w:rsidRDefault="006A08C3" w:rsidP="00DC4101">
            <w:pPr>
              <w:rPr>
                <w:color w:val="000000" w:themeColor="text1"/>
                <w:sz w:val="24"/>
                <w:szCs w:val="24"/>
              </w:rPr>
            </w:pPr>
            <w:r w:rsidRPr="007639CB">
              <w:rPr>
                <w:color w:val="000000" w:themeColor="text1"/>
                <w:sz w:val="24"/>
                <w:szCs w:val="24"/>
              </w:rPr>
              <w:t>Modifications to Reading Courses Completed</w:t>
            </w:r>
          </w:p>
        </w:tc>
      </w:tr>
      <w:tr w:rsidR="007639CB" w:rsidRPr="007639CB" w14:paraId="64CC70E3" w14:textId="77777777" w:rsidTr="00DC4101">
        <w:tc>
          <w:tcPr>
            <w:tcW w:w="0" w:type="auto"/>
          </w:tcPr>
          <w:p w14:paraId="7E3A0110" w14:textId="77777777" w:rsidR="006A08C3" w:rsidRPr="007639CB" w:rsidRDefault="006A08C3" w:rsidP="00DC4101">
            <w:pPr>
              <w:rPr>
                <w:color w:val="000000" w:themeColor="text1"/>
                <w:sz w:val="24"/>
                <w:szCs w:val="24"/>
              </w:rPr>
            </w:pPr>
            <w:r w:rsidRPr="007639CB">
              <w:rPr>
                <w:color w:val="000000" w:themeColor="text1"/>
                <w:sz w:val="24"/>
                <w:szCs w:val="24"/>
              </w:rPr>
              <w:t>April 30, 2023</w:t>
            </w:r>
          </w:p>
        </w:tc>
        <w:tc>
          <w:tcPr>
            <w:tcW w:w="0" w:type="auto"/>
          </w:tcPr>
          <w:p w14:paraId="1247BA8D" w14:textId="77777777" w:rsidR="006A08C3" w:rsidRPr="007639CB" w:rsidRDefault="006A08C3" w:rsidP="00DC4101">
            <w:pPr>
              <w:rPr>
                <w:color w:val="000000" w:themeColor="text1"/>
                <w:sz w:val="24"/>
                <w:szCs w:val="24"/>
              </w:rPr>
            </w:pPr>
            <w:r w:rsidRPr="007639CB">
              <w:rPr>
                <w:color w:val="000000" w:themeColor="text1"/>
                <w:sz w:val="24"/>
                <w:szCs w:val="24"/>
              </w:rPr>
              <w:t>TED Department Chair Completes Review of the Four Courses and Approves</w:t>
            </w:r>
          </w:p>
        </w:tc>
      </w:tr>
      <w:tr w:rsidR="007639CB" w:rsidRPr="007639CB" w14:paraId="487AB0AC" w14:textId="77777777" w:rsidTr="00DC4101">
        <w:tc>
          <w:tcPr>
            <w:tcW w:w="0" w:type="auto"/>
          </w:tcPr>
          <w:p w14:paraId="1213A11D" w14:textId="77777777" w:rsidR="006A08C3" w:rsidRPr="007639CB" w:rsidRDefault="006A08C3" w:rsidP="00DC4101">
            <w:pPr>
              <w:rPr>
                <w:color w:val="000000" w:themeColor="text1"/>
                <w:sz w:val="24"/>
                <w:szCs w:val="24"/>
              </w:rPr>
            </w:pPr>
            <w:r w:rsidRPr="007639CB">
              <w:rPr>
                <w:color w:val="000000" w:themeColor="text1"/>
                <w:sz w:val="24"/>
                <w:szCs w:val="24"/>
              </w:rPr>
              <w:t>April 30, 2023</w:t>
            </w:r>
          </w:p>
        </w:tc>
        <w:tc>
          <w:tcPr>
            <w:tcW w:w="0" w:type="auto"/>
          </w:tcPr>
          <w:p w14:paraId="1618978D" w14:textId="77777777" w:rsidR="006A08C3" w:rsidRPr="007639CB" w:rsidRDefault="006A08C3" w:rsidP="00DC4101">
            <w:pPr>
              <w:rPr>
                <w:color w:val="000000" w:themeColor="text1"/>
                <w:sz w:val="24"/>
                <w:szCs w:val="24"/>
              </w:rPr>
            </w:pPr>
            <w:r w:rsidRPr="007639CB">
              <w:rPr>
                <w:color w:val="000000" w:themeColor="text1"/>
                <w:sz w:val="24"/>
                <w:szCs w:val="24"/>
              </w:rPr>
              <w:t>Reading Development Committee Reviews the Four Courses and Approves</w:t>
            </w:r>
          </w:p>
        </w:tc>
      </w:tr>
      <w:tr w:rsidR="007639CB" w:rsidRPr="007639CB" w14:paraId="793F94BB" w14:textId="77777777" w:rsidTr="00DC4101">
        <w:tc>
          <w:tcPr>
            <w:tcW w:w="0" w:type="auto"/>
          </w:tcPr>
          <w:p w14:paraId="25D89605" w14:textId="77777777" w:rsidR="006A08C3" w:rsidRPr="007639CB" w:rsidRDefault="006A08C3" w:rsidP="00DC4101">
            <w:pPr>
              <w:rPr>
                <w:color w:val="000000" w:themeColor="text1"/>
                <w:sz w:val="24"/>
                <w:szCs w:val="24"/>
              </w:rPr>
            </w:pPr>
            <w:r w:rsidRPr="007639CB">
              <w:rPr>
                <w:color w:val="000000" w:themeColor="text1"/>
                <w:sz w:val="24"/>
                <w:szCs w:val="24"/>
              </w:rPr>
              <w:t>June 1, 2023</w:t>
            </w:r>
          </w:p>
        </w:tc>
        <w:tc>
          <w:tcPr>
            <w:tcW w:w="0" w:type="auto"/>
          </w:tcPr>
          <w:p w14:paraId="01000800" w14:textId="77777777" w:rsidR="006A08C3" w:rsidRPr="007639CB" w:rsidRDefault="006A08C3" w:rsidP="00DC4101">
            <w:pPr>
              <w:rPr>
                <w:color w:val="000000" w:themeColor="text1"/>
                <w:sz w:val="24"/>
                <w:szCs w:val="24"/>
              </w:rPr>
            </w:pPr>
            <w:r w:rsidRPr="007639CB">
              <w:rPr>
                <w:color w:val="000000" w:themeColor="text1"/>
                <w:sz w:val="24"/>
                <w:szCs w:val="24"/>
              </w:rPr>
              <w:t>ITL Program Reading Courses are Launched in Brightspace for the June Term</w:t>
            </w:r>
          </w:p>
        </w:tc>
      </w:tr>
      <w:tr w:rsidR="006A08C3" w:rsidRPr="007639CB" w14:paraId="1C570ED2" w14:textId="77777777" w:rsidTr="00DC4101">
        <w:tc>
          <w:tcPr>
            <w:tcW w:w="0" w:type="auto"/>
          </w:tcPr>
          <w:p w14:paraId="1739B4A3" w14:textId="77777777" w:rsidR="006A08C3" w:rsidRPr="007639CB" w:rsidRDefault="006A08C3" w:rsidP="00DC4101">
            <w:pPr>
              <w:rPr>
                <w:color w:val="000000" w:themeColor="text1"/>
                <w:sz w:val="24"/>
                <w:szCs w:val="24"/>
              </w:rPr>
            </w:pPr>
            <w:r w:rsidRPr="007639CB">
              <w:rPr>
                <w:color w:val="000000" w:themeColor="text1"/>
                <w:sz w:val="24"/>
                <w:szCs w:val="24"/>
              </w:rPr>
              <w:t>July 31, 2023</w:t>
            </w:r>
          </w:p>
        </w:tc>
        <w:tc>
          <w:tcPr>
            <w:tcW w:w="0" w:type="auto"/>
          </w:tcPr>
          <w:p w14:paraId="1BD3830B" w14:textId="77777777" w:rsidR="006A08C3" w:rsidRPr="007639CB" w:rsidRDefault="006A08C3" w:rsidP="00DC4101">
            <w:pPr>
              <w:rPr>
                <w:color w:val="000000" w:themeColor="text1"/>
                <w:sz w:val="24"/>
                <w:szCs w:val="24"/>
              </w:rPr>
            </w:pPr>
            <w:r w:rsidRPr="007639CB">
              <w:rPr>
                <w:color w:val="000000" w:themeColor="text1"/>
                <w:sz w:val="24"/>
                <w:szCs w:val="24"/>
              </w:rPr>
              <w:t>Reading Course Development Committee Reviews Student Evaluations to Make Required Amendments and Modifications</w:t>
            </w:r>
          </w:p>
        </w:tc>
      </w:tr>
    </w:tbl>
    <w:p w14:paraId="52E04F40" w14:textId="77777777" w:rsidR="006A08C3" w:rsidRPr="007639CB" w:rsidRDefault="006A08C3" w:rsidP="006A08C3">
      <w:pPr>
        <w:rPr>
          <w:color w:val="000000" w:themeColor="text1"/>
          <w:sz w:val="24"/>
          <w:szCs w:val="24"/>
        </w:rPr>
      </w:pPr>
    </w:p>
    <w:p w14:paraId="5D6A6C74" w14:textId="77777777" w:rsidR="006A08C3" w:rsidRPr="007639CB" w:rsidRDefault="006A08C3" w:rsidP="006A08C3">
      <w:pPr>
        <w:pStyle w:val="ListParagraph"/>
        <w:numPr>
          <w:ilvl w:val="0"/>
          <w:numId w:val="1"/>
        </w:numPr>
        <w:rPr>
          <w:rFonts w:cstheme="minorHAnsi"/>
          <w:color w:val="000000" w:themeColor="text1"/>
          <w:sz w:val="28"/>
          <w:szCs w:val="28"/>
        </w:rPr>
      </w:pPr>
      <w:r w:rsidRPr="007639CB">
        <w:rPr>
          <w:rFonts w:cstheme="minorHAnsi"/>
          <w:color w:val="000000" w:themeColor="text1"/>
          <w:sz w:val="28"/>
          <w:szCs w:val="28"/>
        </w:rPr>
        <w:t>Budget and Budget Narrative</w:t>
      </w:r>
    </w:p>
    <w:p w14:paraId="56CF81CB" w14:textId="51B0FC05" w:rsidR="006A08C3" w:rsidRPr="007639CB" w:rsidRDefault="006A08C3" w:rsidP="006A08C3">
      <w:pPr>
        <w:pStyle w:val="ListParagraph"/>
        <w:ind w:left="360"/>
        <w:rPr>
          <w:rFonts w:cstheme="minorHAnsi"/>
          <w:color w:val="000000" w:themeColor="text1"/>
          <w:sz w:val="28"/>
          <w:szCs w:val="28"/>
        </w:rPr>
      </w:pPr>
      <w:r w:rsidRPr="007639CB">
        <w:rPr>
          <w:rFonts w:cstheme="minorHAnsi"/>
          <w:color w:val="000000" w:themeColor="text1"/>
          <w:sz w:val="28"/>
          <w:szCs w:val="28"/>
        </w:rPr>
        <w:t>Add materials, assessment</w:t>
      </w:r>
      <w:r w:rsidR="007639CB" w:rsidRPr="007639CB">
        <w:rPr>
          <w:rFonts w:cstheme="minorHAnsi"/>
          <w:color w:val="000000" w:themeColor="text1"/>
          <w:sz w:val="28"/>
          <w:szCs w:val="28"/>
        </w:rPr>
        <w:t xml:space="preserve"> materials</w:t>
      </w:r>
      <w:r w:rsidRPr="007639CB">
        <w:rPr>
          <w:rFonts w:cstheme="minorHAnsi"/>
          <w:color w:val="000000" w:themeColor="text1"/>
          <w:sz w:val="28"/>
          <w:szCs w:val="28"/>
        </w:rPr>
        <w:t xml:space="preserve">, </w:t>
      </w:r>
      <w:r w:rsidR="007639CB">
        <w:rPr>
          <w:rFonts w:cstheme="minorHAnsi"/>
          <w:color w:val="000000" w:themeColor="text1"/>
          <w:sz w:val="28"/>
          <w:szCs w:val="28"/>
        </w:rPr>
        <w:t xml:space="preserve">and </w:t>
      </w:r>
      <w:r w:rsidRPr="007639CB">
        <w:rPr>
          <w:rFonts w:cstheme="minorHAnsi"/>
          <w:color w:val="000000" w:themeColor="text1"/>
          <w:sz w:val="28"/>
          <w:szCs w:val="28"/>
        </w:rPr>
        <w:t xml:space="preserve">intervention strategies </w:t>
      </w:r>
    </w:p>
    <w:p w14:paraId="71B338E9" w14:textId="77777777" w:rsidR="006A08C3" w:rsidRPr="007639CB" w:rsidRDefault="006A08C3" w:rsidP="006A08C3">
      <w:pPr>
        <w:spacing w:after="0" w:line="240" w:lineRule="auto"/>
        <w:rPr>
          <w:rFonts w:cstheme="minorHAnsi"/>
          <w:color w:val="000000" w:themeColor="text1"/>
          <w:sz w:val="28"/>
          <w:szCs w:val="28"/>
        </w:rPr>
      </w:pPr>
      <w:r w:rsidRPr="007639CB">
        <w:rPr>
          <w:rFonts w:cstheme="minorHAnsi"/>
          <w:color w:val="000000" w:themeColor="text1"/>
          <w:sz w:val="28"/>
          <w:szCs w:val="28"/>
        </w:rPr>
        <w:t>Education Specialist Preliminary Credential Program: MMSN and ESN</w:t>
      </w:r>
    </w:p>
    <w:p w14:paraId="039B3FA1" w14:textId="77777777" w:rsidR="006A08C3" w:rsidRPr="007639CB" w:rsidRDefault="006A08C3" w:rsidP="006A08C3">
      <w:pPr>
        <w:spacing w:after="0" w:line="240" w:lineRule="auto"/>
        <w:rPr>
          <w:rFonts w:cstheme="minorHAnsi"/>
          <w:color w:val="000000" w:themeColor="text1"/>
          <w:sz w:val="28"/>
          <w:szCs w:val="28"/>
        </w:rPr>
      </w:pPr>
    </w:p>
    <w:tbl>
      <w:tblPr>
        <w:tblStyle w:val="TableGrid"/>
        <w:tblW w:w="0" w:type="auto"/>
        <w:tblLook w:val="04A0" w:firstRow="1" w:lastRow="0" w:firstColumn="1" w:lastColumn="0" w:noHBand="0" w:noVBand="1"/>
      </w:tblPr>
      <w:tblGrid>
        <w:gridCol w:w="8207"/>
        <w:gridCol w:w="1143"/>
      </w:tblGrid>
      <w:tr w:rsidR="007639CB" w:rsidRPr="007639CB" w14:paraId="6B789944" w14:textId="77777777" w:rsidTr="00DC4101">
        <w:tc>
          <w:tcPr>
            <w:tcW w:w="0" w:type="auto"/>
          </w:tcPr>
          <w:p w14:paraId="75E4B610" w14:textId="77777777" w:rsidR="006A08C3" w:rsidRPr="007639CB" w:rsidRDefault="006A08C3" w:rsidP="00DC4101">
            <w:pPr>
              <w:rPr>
                <w:color w:val="000000" w:themeColor="text1"/>
                <w:sz w:val="28"/>
                <w:szCs w:val="28"/>
              </w:rPr>
            </w:pPr>
            <w:r w:rsidRPr="007639CB">
              <w:rPr>
                <w:color w:val="000000" w:themeColor="text1"/>
                <w:sz w:val="28"/>
                <w:szCs w:val="28"/>
              </w:rPr>
              <w:t>Consultant to develop the Professional Development</w:t>
            </w:r>
          </w:p>
        </w:tc>
        <w:tc>
          <w:tcPr>
            <w:tcW w:w="0" w:type="auto"/>
          </w:tcPr>
          <w:p w14:paraId="622974F4" w14:textId="77777777" w:rsidR="006A08C3" w:rsidRPr="007639CB" w:rsidRDefault="006A08C3" w:rsidP="00DC4101">
            <w:pPr>
              <w:rPr>
                <w:color w:val="000000" w:themeColor="text1"/>
                <w:sz w:val="28"/>
                <w:szCs w:val="28"/>
              </w:rPr>
            </w:pPr>
            <w:r w:rsidRPr="007639CB">
              <w:rPr>
                <w:color w:val="000000" w:themeColor="text1"/>
                <w:sz w:val="28"/>
                <w:szCs w:val="28"/>
              </w:rPr>
              <w:t>3000.00</w:t>
            </w:r>
          </w:p>
        </w:tc>
      </w:tr>
      <w:tr w:rsidR="007639CB" w:rsidRPr="007639CB" w14:paraId="2D2BF8F2" w14:textId="77777777" w:rsidTr="00DC4101">
        <w:tc>
          <w:tcPr>
            <w:tcW w:w="0" w:type="auto"/>
          </w:tcPr>
          <w:p w14:paraId="0C9CC3BC"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International Dyslexia Association Conference Fee (2 registration)</w:t>
            </w:r>
          </w:p>
        </w:tc>
        <w:tc>
          <w:tcPr>
            <w:tcW w:w="0" w:type="auto"/>
          </w:tcPr>
          <w:p w14:paraId="750DCADA"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940.00</w:t>
            </w:r>
          </w:p>
        </w:tc>
      </w:tr>
      <w:tr w:rsidR="007639CB" w:rsidRPr="007639CB" w14:paraId="4DBE7B05" w14:textId="77777777" w:rsidTr="00DC4101">
        <w:tc>
          <w:tcPr>
            <w:tcW w:w="0" w:type="auto"/>
          </w:tcPr>
          <w:p w14:paraId="0AFA1730"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Adjunct Stipend to attend Professional Development Trainings (25 adjuncts to attend 4 one-hour PD sessions @ $25.00 an hour)</w:t>
            </w:r>
          </w:p>
        </w:tc>
        <w:tc>
          <w:tcPr>
            <w:tcW w:w="0" w:type="auto"/>
          </w:tcPr>
          <w:p w14:paraId="3758338D"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2500.00</w:t>
            </w:r>
          </w:p>
        </w:tc>
      </w:tr>
      <w:tr w:rsidR="007639CB" w:rsidRPr="007639CB" w14:paraId="6DACD2DA" w14:textId="77777777" w:rsidTr="00DC4101">
        <w:tc>
          <w:tcPr>
            <w:tcW w:w="0" w:type="auto"/>
          </w:tcPr>
          <w:p w14:paraId="1F823DA5"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Indirect Cost @8%</w:t>
            </w:r>
          </w:p>
        </w:tc>
        <w:tc>
          <w:tcPr>
            <w:tcW w:w="0" w:type="auto"/>
          </w:tcPr>
          <w:p w14:paraId="628399B6"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560.00</w:t>
            </w:r>
          </w:p>
        </w:tc>
      </w:tr>
      <w:tr w:rsidR="006A08C3" w:rsidRPr="007639CB" w14:paraId="2DCF0D29" w14:textId="77777777" w:rsidTr="00DC4101">
        <w:tc>
          <w:tcPr>
            <w:tcW w:w="0" w:type="auto"/>
          </w:tcPr>
          <w:p w14:paraId="1A21D914" w14:textId="77777777" w:rsidR="006A08C3" w:rsidRPr="007639CB" w:rsidRDefault="006A08C3" w:rsidP="00DC4101">
            <w:pPr>
              <w:rPr>
                <w:rFonts w:cstheme="minorHAnsi"/>
                <w:b/>
                <w:bCs/>
                <w:color w:val="000000" w:themeColor="text1"/>
                <w:sz w:val="28"/>
                <w:szCs w:val="28"/>
              </w:rPr>
            </w:pPr>
            <w:r w:rsidRPr="007639CB">
              <w:rPr>
                <w:rFonts w:cstheme="minorHAnsi"/>
                <w:b/>
                <w:bCs/>
                <w:color w:val="000000" w:themeColor="text1"/>
                <w:sz w:val="28"/>
                <w:szCs w:val="28"/>
              </w:rPr>
              <w:t>Total</w:t>
            </w:r>
          </w:p>
        </w:tc>
        <w:tc>
          <w:tcPr>
            <w:tcW w:w="0" w:type="auto"/>
          </w:tcPr>
          <w:p w14:paraId="1F918CB0" w14:textId="77777777" w:rsidR="006A08C3" w:rsidRPr="007639CB" w:rsidRDefault="006A08C3" w:rsidP="00DC4101">
            <w:pPr>
              <w:rPr>
                <w:rFonts w:cstheme="minorHAnsi"/>
                <w:b/>
                <w:bCs/>
                <w:color w:val="000000" w:themeColor="text1"/>
                <w:sz w:val="28"/>
                <w:szCs w:val="28"/>
              </w:rPr>
            </w:pPr>
            <w:r w:rsidRPr="007639CB">
              <w:rPr>
                <w:rFonts w:cstheme="minorHAnsi"/>
                <w:b/>
                <w:bCs/>
                <w:color w:val="000000" w:themeColor="text1"/>
                <w:sz w:val="28"/>
                <w:szCs w:val="28"/>
              </w:rPr>
              <w:t>7000.00</w:t>
            </w:r>
          </w:p>
        </w:tc>
      </w:tr>
    </w:tbl>
    <w:p w14:paraId="7B38B3D6" w14:textId="77777777" w:rsidR="006A08C3" w:rsidRPr="007639CB" w:rsidRDefault="006A08C3" w:rsidP="006A08C3">
      <w:pPr>
        <w:spacing w:after="0" w:line="240" w:lineRule="auto"/>
        <w:rPr>
          <w:rFonts w:cstheme="minorHAnsi"/>
          <w:color w:val="000000" w:themeColor="text1"/>
          <w:sz w:val="28"/>
          <w:szCs w:val="28"/>
        </w:rPr>
      </w:pPr>
    </w:p>
    <w:p w14:paraId="4957FFB2" w14:textId="77777777" w:rsidR="006A08C3" w:rsidRPr="007639CB" w:rsidRDefault="006A08C3" w:rsidP="006A08C3">
      <w:pPr>
        <w:rPr>
          <w:rFonts w:cstheme="minorHAnsi"/>
          <w:color w:val="000000" w:themeColor="text1"/>
          <w:sz w:val="28"/>
          <w:szCs w:val="28"/>
        </w:rPr>
      </w:pPr>
      <w:r w:rsidRPr="007639CB">
        <w:rPr>
          <w:rFonts w:cstheme="minorHAnsi"/>
          <w:color w:val="000000" w:themeColor="text1"/>
          <w:sz w:val="28"/>
          <w:szCs w:val="28"/>
        </w:rPr>
        <w:t>Multiple Subject Credential Program</w:t>
      </w:r>
    </w:p>
    <w:tbl>
      <w:tblPr>
        <w:tblStyle w:val="TableGrid"/>
        <w:tblW w:w="0" w:type="auto"/>
        <w:tblLook w:val="04A0" w:firstRow="1" w:lastRow="0" w:firstColumn="1" w:lastColumn="0" w:noHBand="0" w:noVBand="1"/>
      </w:tblPr>
      <w:tblGrid>
        <w:gridCol w:w="8207"/>
        <w:gridCol w:w="1143"/>
      </w:tblGrid>
      <w:tr w:rsidR="007639CB" w:rsidRPr="007639CB" w14:paraId="04F007C8" w14:textId="77777777" w:rsidTr="00DC4101">
        <w:tc>
          <w:tcPr>
            <w:tcW w:w="0" w:type="auto"/>
          </w:tcPr>
          <w:p w14:paraId="4FF91951"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Course Lead Release Time</w:t>
            </w:r>
          </w:p>
        </w:tc>
        <w:tc>
          <w:tcPr>
            <w:tcW w:w="0" w:type="auto"/>
          </w:tcPr>
          <w:p w14:paraId="224D2779"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2500.00</w:t>
            </w:r>
          </w:p>
        </w:tc>
      </w:tr>
      <w:tr w:rsidR="007639CB" w:rsidRPr="007639CB" w14:paraId="41E7A9A4" w14:textId="77777777" w:rsidTr="00DC4101">
        <w:tc>
          <w:tcPr>
            <w:tcW w:w="0" w:type="auto"/>
          </w:tcPr>
          <w:p w14:paraId="07672753"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International Dyslexia Association Conference Fee (3 registration)</w:t>
            </w:r>
          </w:p>
        </w:tc>
        <w:tc>
          <w:tcPr>
            <w:tcW w:w="0" w:type="auto"/>
          </w:tcPr>
          <w:p w14:paraId="1B5C6050"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1440.00</w:t>
            </w:r>
          </w:p>
        </w:tc>
      </w:tr>
      <w:tr w:rsidR="007639CB" w:rsidRPr="007639CB" w14:paraId="7339D238" w14:textId="77777777" w:rsidTr="00DC4101">
        <w:tc>
          <w:tcPr>
            <w:tcW w:w="0" w:type="auto"/>
          </w:tcPr>
          <w:p w14:paraId="6F63C47A"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Adjunct Stipend to attend Professional Development Trainings (25 adjuncts to attend 4 one-hour PD sessions @ $25.00 an hour)</w:t>
            </w:r>
          </w:p>
        </w:tc>
        <w:tc>
          <w:tcPr>
            <w:tcW w:w="0" w:type="auto"/>
          </w:tcPr>
          <w:p w14:paraId="61757C99"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2500.00</w:t>
            </w:r>
          </w:p>
        </w:tc>
      </w:tr>
      <w:tr w:rsidR="007639CB" w:rsidRPr="007639CB" w14:paraId="60BF7934" w14:textId="77777777" w:rsidTr="00DC4101">
        <w:tc>
          <w:tcPr>
            <w:tcW w:w="0" w:type="auto"/>
          </w:tcPr>
          <w:p w14:paraId="0C42A9FB"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Indirect Cost @8%</w:t>
            </w:r>
          </w:p>
        </w:tc>
        <w:tc>
          <w:tcPr>
            <w:tcW w:w="0" w:type="auto"/>
          </w:tcPr>
          <w:p w14:paraId="747FAA91"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560.00</w:t>
            </w:r>
          </w:p>
        </w:tc>
      </w:tr>
      <w:tr w:rsidR="006A08C3" w:rsidRPr="007639CB" w14:paraId="07DEEDD8" w14:textId="77777777" w:rsidTr="00DC4101">
        <w:tc>
          <w:tcPr>
            <w:tcW w:w="0" w:type="auto"/>
          </w:tcPr>
          <w:p w14:paraId="2C99BBE6" w14:textId="77777777" w:rsidR="006A08C3" w:rsidRPr="007639CB" w:rsidRDefault="006A08C3" w:rsidP="00DC4101">
            <w:pPr>
              <w:rPr>
                <w:rFonts w:cstheme="minorHAnsi"/>
                <w:b/>
                <w:bCs/>
                <w:color w:val="000000" w:themeColor="text1"/>
                <w:sz w:val="28"/>
                <w:szCs w:val="28"/>
              </w:rPr>
            </w:pPr>
            <w:r w:rsidRPr="007639CB">
              <w:rPr>
                <w:rFonts w:cstheme="minorHAnsi"/>
                <w:b/>
                <w:bCs/>
                <w:color w:val="000000" w:themeColor="text1"/>
                <w:sz w:val="28"/>
                <w:szCs w:val="28"/>
              </w:rPr>
              <w:t>Total</w:t>
            </w:r>
          </w:p>
        </w:tc>
        <w:tc>
          <w:tcPr>
            <w:tcW w:w="0" w:type="auto"/>
          </w:tcPr>
          <w:p w14:paraId="20CA31A3" w14:textId="77777777" w:rsidR="006A08C3" w:rsidRPr="007639CB" w:rsidRDefault="006A08C3" w:rsidP="00DC4101">
            <w:pPr>
              <w:rPr>
                <w:rFonts w:cstheme="minorHAnsi"/>
                <w:b/>
                <w:bCs/>
                <w:color w:val="000000" w:themeColor="text1"/>
                <w:sz w:val="28"/>
                <w:szCs w:val="28"/>
              </w:rPr>
            </w:pPr>
            <w:r w:rsidRPr="007639CB">
              <w:rPr>
                <w:rFonts w:cstheme="minorHAnsi"/>
                <w:b/>
                <w:bCs/>
                <w:color w:val="000000" w:themeColor="text1"/>
                <w:sz w:val="28"/>
                <w:szCs w:val="28"/>
              </w:rPr>
              <w:t>7000.00</w:t>
            </w:r>
          </w:p>
        </w:tc>
      </w:tr>
    </w:tbl>
    <w:p w14:paraId="0E5730B8" w14:textId="77777777" w:rsidR="006A08C3" w:rsidRPr="007639CB" w:rsidRDefault="006A08C3" w:rsidP="006A08C3">
      <w:pPr>
        <w:spacing w:after="0" w:line="240" w:lineRule="auto"/>
        <w:contextualSpacing/>
        <w:rPr>
          <w:rFonts w:cstheme="minorHAnsi"/>
          <w:color w:val="000000" w:themeColor="text1"/>
          <w:sz w:val="28"/>
          <w:szCs w:val="28"/>
        </w:rPr>
      </w:pPr>
    </w:p>
    <w:p w14:paraId="41F4ADA1" w14:textId="77777777" w:rsidR="006A08C3" w:rsidRPr="007639CB" w:rsidRDefault="006A08C3" w:rsidP="006A08C3">
      <w:pPr>
        <w:rPr>
          <w:rFonts w:cstheme="minorHAnsi"/>
          <w:color w:val="000000" w:themeColor="text1"/>
          <w:sz w:val="28"/>
          <w:szCs w:val="28"/>
        </w:rPr>
      </w:pPr>
      <w:r w:rsidRPr="007639CB">
        <w:rPr>
          <w:rFonts w:cstheme="minorHAnsi"/>
          <w:color w:val="000000" w:themeColor="text1"/>
          <w:sz w:val="28"/>
          <w:szCs w:val="28"/>
        </w:rPr>
        <w:t>Single Subject Credential Program</w:t>
      </w:r>
    </w:p>
    <w:tbl>
      <w:tblPr>
        <w:tblStyle w:val="TableGrid"/>
        <w:tblW w:w="0" w:type="auto"/>
        <w:tblLook w:val="04A0" w:firstRow="1" w:lastRow="0" w:firstColumn="1" w:lastColumn="0" w:noHBand="0" w:noVBand="1"/>
      </w:tblPr>
      <w:tblGrid>
        <w:gridCol w:w="8207"/>
        <w:gridCol w:w="1143"/>
      </w:tblGrid>
      <w:tr w:rsidR="007639CB" w:rsidRPr="007639CB" w14:paraId="6D6683AE" w14:textId="77777777" w:rsidTr="00DC4101">
        <w:tc>
          <w:tcPr>
            <w:tcW w:w="0" w:type="auto"/>
          </w:tcPr>
          <w:p w14:paraId="62B5C876"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International Dyslexia Association Conference Fee (8 registration)</w:t>
            </w:r>
          </w:p>
        </w:tc>
        <w:tc>
          <w:tcPr>
            <w:tcW w:w="0" w:type="auto"/>
          </w:tcPr>
          <w:p w14:paraId="72D841F0"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3940.00</w:t>
            </w:r>
          </w:p>
        </w:tc>
      </w:tr>
      <w:tr w:rsidR="007639CB" w:rsidRPr="007639CB" w14:paraId="3C114435" w14:textId="77777777" w:rsidTr="00DC4101">
        <w:tc>
          <w:tcPr>
            <w:tcW w:w="0" w:type="auto"/>
          </w:tcPr>
          <w:p w14:paraId="10D68ED8"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Adjunct Stipend to attend Professional Development Trainings (25 adjuncts to attend 4 one-hour PD sessions @ $25.00 an hour)</w:t>
            </w:r>
          </w:p>
        </w:tc>
        <w:tc>
          <w:tcPr>
            <w:tcW w:w="0" w:type="auto"/>
          </w:tcPr>
          <w:p w14:paraId="1232A5DA"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2500.00</w:t>
            </w:r>
          </w:p>
        </w:tc>
      </w:tr>
      <w:tr w:rsidR="007639CB" w:rsidRPr="007639CB" w14:paraId="4AEA3AF0" w14:textId="77777777" w:rsidTr="00DC4101">
        <w:tc>
          <w:tcPr>
            <w:tcW w:w="0" w:type="auto"/>
          </w:tcPr>
          <w:p w14:paraId="7D727EF1"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lastRenderedPageBreak/>
              <w:t>Indirect Cost @8%</w:t>
            </w:r>
          </w:p>
        </w:tc>
        <w:tc>
          <w:tcPr>
            <w:tcW w:w="0" w:type="auto"/>
          </w:tcPr>
          <w:p w14:paraId="2C7CCDA7" w14:textId="77777777" w:rsidR="006A08C3" w:rsidRPr="007639CB" w:rsidRDefault="006A08C3" w:rsidP="00DC4101">
            <w:pPr>
              <w:rPr>
                <w:rFonts w:cstheme="minorHAnsi"/>
                <w:color w:val="000000" w:themeColor="text1"/>
                <w:sz w:val="28"/>
                <w:szCs w:val="28"/>
              </w:rPr>
            </w:pPr>
            <w:r w:rsidRPr="007639CB">
              <w:rPr>
                <w:rFonts w:cstheme="minorHAnsi"/>
                <w:color w:val="000000" w:themeColor="text1"/>
                <w:sz w:val="28"/>
                <w:szCs w:val="28"/>
              </w:rPr>
              <w:t>560.00</w:t>
            </w:r>
          </w:p>
        </w:tc>
      </w:tr>
      <w:tr w:rsidR="006A08C3" w:rsidRPr="007639CB" w14:paraId="7F34B868" w14:textId="77777777" w:rsidTr="00DC4101">
        <w:tc>
          <w:tcPr>
            <w:tcW w:w="0" w:type="auto"/>
          </w:tcPr>
          <w:p w14:paraId="16E3D6AB" w14:textId="77777777" w:rsidR="006A08C3" w:rsidRPr="007639CB" w:rsidRDefault="006A08C3" w:rsidP="00DC4101">
            <w:pPr>
              <w:rPr>
                <w:rFonts w:cstheme="minorHAnsi"/>
                <w:b/>
                <w:bCs/>
                <w:color w:val="000000" w:themeColor="text1"/>
                <w:sz w:val="28"/>
                <w:szCs w:val="28"/>
              </w:rPr>
            </w:pPr>
            <w:r w:rsidRPr="007639CB">
              <w:rPr>
                <w:rFonts w:cstheme="minorHAnsi"/>
                <w:b/>
                <w:bCs/>
                <w:color w:val="000000" w:themeColor="text1"/>
                <w:sz w:val="28"/>
                <w:szCs w:val="28"/>
              </w:rPr>
              <w:t>Total</w:t>
            </w:r>
          </w:p>
        </w:tc>
        <w:tc>
          <w:tcPr>
            <w:tcW w:w="0" w:type="auto"/>
          </w:tcPr>
          <w:p w14:paraId="3DAF0A8E" w14:textId="77777777" w:rsidR="006A08C3" w:rsidRPr="007639CB" w:rsidRDefault="006A08C3" w:rsidP="00DC4101">
            <w:pPr>
              <w:rPr>
                <w:rFonts w:cstheme="minorHAnsi"/>
                <w:b/>
                <w:bCs/>
                <w:color w:val="000000" w:themeColor="text1"/>
                <w:sz w:val="28"/>
                <w:szCs w:val="28"/>
              </w:rPr>
            </w:pPr>
            <w:r w:rsidRPr="007639CB">
              <w:rPr>
                <w:rFonts w:cstheme="minorHAnsi"/>
                <w:b/>
                <w:bCs/>
                <w:color w:val="000000" w:themeColor="text1"/>
                <w:sz w:val="28"/>
                <w:szCs w:val="28"/>
              </w:rPr>
              <w:t>7000.00</w:t>
            </w:r>
          </w:p>
        </w:tc>
      </w:tr>
    </w:tbl>
    <w:p w14:paraId="24937148" w14:textId="77777777" w:rsidR="006A08C3" w:rsidRPr="007639CB" w:rsidRDefault="006A08C3" w:rsidP="006A08C3">
      <w:pPr>
        <w:spacing w:after="0" w:line="240" w:lineRule="auto"/>
        <w:contextualSpacing/>
        <w:rPr>
          <w:rFonts w:cstheme="minorHAnsi"/>
          <w:color w:val="000000" w:themeColor="text1"/>
          <w:sz w:val="28"/>
          <w:szCs w:val="28"/>
        </w:rPr>
      </w:pPr>
    </w:p>
    <w:p w14:paraId="2A2416D0" w14:textId="6E005F17" w:rsidR="0031202B" w:rsidRPr="007639CB" w:rsidRDefault="006A08C3" w:rsidP="006A08C3">
      <w:pPr>
        <w:rPr>
          <w:rFonts w:cstheme="minorHAnsi"/>
          <w:b/>
          <w:bCs/>
          <w:color w:val="000000" w:themeColor="text1"/>
          <w:sz w:val="28"/>
          <w:szCs w:val="28"/>
        </w:rPr>
      </w:pPr>
      <w:r w:rsidRPr="007639CB">
        <w:rPr>
          <w:rFonts w:cstheme="minorHAnsi"/>
          <w:b/>
          <w:bCs/>
          <w:color w:val="000000" w:themeColor="text1"/>
          <w:sz w:val="28"/>
          <w:szCs w:val="28"/>
        </w:rPr>
        <w:t>Total Budget</w:t>
      </w:r>
      <w:r w:rsidRPr="007639CB">
        <w:rPr>
          <w:rFonts w:cstheme="minorHAnsi"/>
          <w:b/>
          <w:bCs/>
          <w:color w:val="000000" w:themeColor="text1"/>
          <w:sz w:val="28"/>
          <w:szCs w:val="28"/>
        </w:rPr>
        <w:tab/>
      </w:r>
      <w:r w:rsidRPr="007639CB">
        <w:rPr>
          <w:rFonts w:cstheme="minorHAnsi"/>
          <w:b/>
          <w:bCs/>
          <w:color w:val="000000" w:themeColor="text1"/>
          <w:sz w:val="28"/>
          <w:szCs w:val="28"/>
        </w:rPr>
        <w:tab/>
      </w:r>
      <w:r w:rsidRPr="007639CB">
        <w:rPr>
          <w:rFonts w:cstheme="minorHAnsi"/>
          <w:b/>
          <w:bCs/>
          <w:color w:val="000000" w:themeColor="text1"/>
          <w:sz w:val="28"/>
          <w:szCs w:val="28"/>
        </w:rPr>
        <w:tab/>
      </w:r>
      <w:r w:rsidRPr="007639CB">
        <w:rPr>
          <w:rFonts w:cstheme="minorHAnsi"/>
          <w:b/>
          <w:bCs/>
          <w:color w:val="000000" w:themeColor="text1"/>
          <w:sz w:val="28"/>
          <w:szCs w:val="28"/>
        </w:rPr>
        <w:tab/>
      </w:r>
      <w:r w:rsidRPr="007639CB">
        <w:rPr>
          <w:rFonts w:cstheme="minorHAnsi"/>
          <w:b/>
          <w:bCs/>
          <w:color w:val="000000" w:themeColor="text1"/>
          <w:sz w:val="28"/>
          <w:szCs w:val="28"/>
        </w:rPr>
        <w:tab/>
      </w:r>
      <w:r w:rsidRPr="007639CB">
        <w:rPr>
          <w:rFonts w:cstheme="minorHAnsi"/>
          <w:b/>
          <w:bCs/>
          <w:color w:val="000000" w:themeColor="text1"/>
          <w:sz w:val="28"/>
          <w:szCs w:val="28"/>
        </w:rPr>
        <w:tab/>
      </w:r>
      <w:r w:rsidRPr="007639CB">
        <w:rPr>
          <w:rFonts w:cstheme="minorHAnsi"/>
          <w:b/>
          <w:bCs/>
          <w:color w:val="000000" w:themeColor="text1"/>
          <w:sz w:val="28"/>
          <w:szCs w:val="28"/>
        </w:rPr>
        <w:tab/>
      </w:r>
      <w:r w:rsidRPr="007639CB">
        <w:rPr>
          <w:rFonts w:cstheme="minorHAnsi"/>
          <w:b/>
          <w:bCs/>
          <w:color w:val="000000" w:themeColor="text1"/>
          <w:sz w:val="28"/>
          <w:szCs w:val="28"/>
        </w:rPr>
        <w:tab/>
      </w:r>
      <w:r w:rsidRPr="007639CB">
        <w:rPr>
          <w:rFonts w:cstheme="minorHAnsi"/>
          <w:b/>
          <w:bCs/>
          <w:color w:val="000000" w:themeColor="text1"/>
          <w:sz w:val="28"/>
          <w:szCs w:val="28"/>
        </w:rPr>
        <w:tab/>
        <w:t>21,000.00</w:t>
      </w:r>
    </w:p>
    <w:p w14:paraId="5D1290C3" w14:textId="13D3B587" w:rsidR="00A80C09" w:rsidRPr="007639CB" w:rsidRDefault="00A80C09" w:rsidP="0080502E">
      <w:pPr>
        <w:pStyle w:val="ListParagraph"/>
        <w:rPr>
          <w:rFonts w:cstheme="minorHAnsi"/>
          <w:color w:val="000000" w:themeColor="text1"/>
          <w:sz w:val="24"/>
          <w:szCs w:val="24"/>
        </w:rPr>
      </w:pPr>
    </w:p>
    <w:sectPr w:rsidR="00A80C09" w:rsidRPr="00763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StdBook">
    <w:altName w:val="Century Gothic"/>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1E16"/>
    <w:multiLevelType w:val="hybridMultilevel"/>
    <w:tmpl w:val="21E8289E"/>
    <w:lvl w:ilvl="0" w:tplc="EF3C8D5A">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30A55602"/>
    <w:multiLevelType w:val="hybridMultilevel"/>
    <w:tmpl w:val="C5CCD14E"/>
    <w:lvl w:ilvl="0" w:tplc="DBAE59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5214F"/>
    <w:multiLevelType w:val="hybridMultilevel"/>
    <w:tmpl w:val="9B464554"/>
    <w:lvl w:ilvl="0" w:tplc="595A40A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2283261">
    <w:abstractNumId w:val="1"/>
  </w:num>
  <w:num w:numId="2" w16cid:durableId="33893340">
    <w:abstractNumId w:val="2"/>
  </w:num>
  <w:num w:numId="3" w16cid:durableId="1254165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8C"/>
    <w:rsid w:val="00084924"/>
    <w:rsid w:val="001243AA"/>
    <w:rsid w:val="00145192"/>
    <w:rsid w:val="00194106"/>
    <w:rsid w:val="002160D8"/>
    <w:rsid w:val="0021740D"/>
    <w:rsid w:val="00267205"/>
    <w:rsid w:val="002A56DD"/>
    <w:rsid w:val="0031202B"/>
    <w:rsid w:val="003449D6"/>
    <w:rsid w:val="003666A5"/>
    <w:rsid w:val="003912AC"/>
    <w:rsid w:val="004145BC"/>
    <w:rsid w:val="004479AC"/>
    <w:rsid w:val="004F705E"/>
    <w:rsid w:val="0056625C"/>
    <w:rsid w:val="005D2237"/>
    <w:rsid w:val="006477CA"/>
    <w:rsid w:val="006A08C3"/>
    <w:rsid w:val="00700C27"/>
    <w:rsid w:val="007147BD"/>
    <w:rsid w:val="007639CB"/>
    <w:rsid w:val="007827AD"/>
    <w:rsid w:val="007E3908"/>
    <w:rsid w:val="007E5B90"/>
    <w:rsid w:val="0080502E"/>
    <w:rsid w:val="00812673"/>
    <w:rsid w:val="00955E75"/>
    <w:rsid w:val="009A5065"/>
    <w:rsid w:val="00A6525A"/>
    <w:rsid w:val="00A80C09"/>
    <w:rsid w:val="00A96AEF"/>
    <w:rsid w:val="00AB12C9"/>
    <w:rsid w:val="00B10A51"/>
    <w:rsid w:val="00B1264F"/>
    <w:rsid w:val="00B20566"/>
    <w:rsid w:val="00BE370F"/>
    <w:rsid w:val="00BF377A"/>
    <w:rsid w:val="00C5041E"/>
    <w:rsid w:val="00C52AED"/>
    <w:rsid w:val="00C73EE6"/>
    <w:rsid w:val="00C80F9B"/>
    <w:rsid w:val="00D03BB3"/>
    <w:rsid w:val="00D61CA1"/>
    <w:rsid w:val="00D66422"/>
    <w:rsid w:val="00D67A8C"/>
    <w:rsid w:val="00D74F41"/>
    <w:rsid w:val="00DC2737"/>
    <w:rsid w:val="00DC3004"/>
    <w:rsid w:val="00DF2998"/>
    <w:rsid w:val="00DF4A1E"/>
    <w:rsid w:val="00E50209"/>
    <w:rsid w:val="00E71CF1"/>
    <w:rsid w:val="00F7527B"/>
    <w:rsid w:val="00FF16C9"/>
    <w:rsid w:val="00FF7BD4"/>
    <w:rsid w:val="028E1828"/>
    <w:rsid w:val="0EE1E309"/>
    <w:rsid w:val="1781CF47"/>
    <w:rsid w:val="199AA8CD"/>
    <w:rsid w:val="2D611F65"/>
    <w:rsid w:val="3078A75E"/>
    <w:rsid w:val="4D353CF5"/>
    <w:rsid w:val="51A49A7F"/>
    <w:rsid w:val="5674108E"/>
    <w:rsid w:val="7158C77F"/>
    <w:rsid w:val="78FD9ABC"/>
    <w:rsid w:val="7986BF4C"/>
    <w:rsid w:val="7C35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5830"/>
  <w15:chartTrackingRefBased/>
  <w15:docId w15:val="{B533EB2B-F0EE-4E88-8293-0362AEA2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A8C"/>
    <w:pPr>
      <w:ind w:left="720"/>
      <w:contextualSpacing/>
    </w:pPr>
  </w:style>
  <w:style w:type="table" w:styleId="TableGrid">
    <w:name w:val="Table Grid"/>
    <w:basedOn w:val="TableNormal"/>
    <w:uiPriority w:val="59"/>
    <w:unhideWhenUsed/>
    <w:rsid w:val="00A6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29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904931">
      <w:bodyDiv w:val="1"/>
      <w:marLeft w:val="0"/>
      <w:marRight w:val="0"/>
      <w:marTop w:val="0"/>
      <w:marBottom w:val="0"/>
      <w:divBdr>
        <w:top w:val="none" w:sz="0" w:space="0" w:color="auto"/>
        <w:left w:val="none" w:sz="0" w:space="0" w:color="auto"/>
        <w:bottom w:val="none" w:sz="0" w:space="0" w:color="auto"/>
        <w:right w:val="none" w:sz="0" w:space="0" w:color="auto"/>
      </w:divBdr>
    </w:div>
    <w:div w:id="1835492383">
      <w:bodyDiv w:val="1"/>
      <w:marLeft w:val="0"/>
      <w:marRight w:val="0"/>
      <w:marTop w:val="0"/>
      <w:marBottom w:val="0"/>
      <w:divBdr>
        <w:top w:val="none" w:sz="0" w:space="0" w:color="auto"/>
        <w:left w:val="none" w:sz="0" w:space="0" w:color="auto"/>
        <w:bottom w:val="none" w:sz="0" w:space="0" w:color="auto"/>
        <w:right w:val="none" w:sz="0" w:space="0" w:color="auto"/>
      </w:divBdr>
    </w:div>
    <w:div w:id="210036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Plummer</dc:creator>
  <cp:keywords/>
  <dc:description/>
  <cp:lastModifiedBy>Microsoft Office User</cp:lastModifiedBy>
  <cp:revision>2</cp:revision>
  <cp:lastPrinted>2022-06-06T22:01:00Z</cp:lastPrinted>
  <dcterms:created xsi:type="dcterms:W3CDTF">2025-05-05T19:31:00Z</dcterms:created>
  <dcterms:modified xsi:type="dcterms:W3CDTF">2025-05-05T19:31:00Z</dcterms:modified>
</cp:coreProperties>
</file>